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P85/89</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湛江市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高良姜干燥技术规程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regulation for drying galangal</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w:t>
      </w:r>
      <w:r>
        <w:rPr>
          <w:sz w:val="21"/>
          <w:szCs w:val="28"/>
        </w:rPr>
        <w:t>2</w:t>
      </w:r>
      <w:r>
        <w:rPr>
          <w:rFonts w:hint="eastAsia"/>
          <w:sz w:val="21"/>
          <w:szCs w:val="28"/>
        </w:rPr>
        <w:t>年</w:t>
      </w:r>
      <w:r>
        <w:rPr>
          <w:sz w:val="21"/>
          <w:szCs w:val="28"/>
        </w:rPr>
        <w:t>9</w:t>
      </w:r>
      <w:r>
        <w:rPr>
          <w:rFonts w:hint="eastAsia"/>
          <w:sz w:val="21"/>
          <w:szCs w:val="28"/>
        </w:rPr>
        <w:t>月）</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湛江市市场监督管理局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本文件由湛江市农业农村局提出。</w:t>
      </w:r>
    </w:p>
    <w:p>
      <w:pPr>
        <w:pStyle w:val="56"/>
        <w:ind w:firstLine="420"/>
      </w:pPr>
      <w:r>
        <w:rPr>
          <w:rFonts w:hint="eastAsia"/>
        </w:rPr>
        <w:t>本文件由湛江市市场监管局归口。</w:t>
      </w:r>
    </w:p>
    <w:p>
      <w:pPr>
        <w:pStyle w:val="56"/>
        <w:ind w:firstLine="420"/>
      </w:pPr>
      <w:r>
        <w:rPr>
          <w:rFonts w:hint="eastAsia"/>
        </w:rPr>
        <w:t>本文件起草单位：</w:t>
      </w:r>
      <w:r>
        <w:t xml:space="preserve"> </w:t>
      </w:r>
    </w:p>
    <w:p>
      <w:pPr>
        <w:pStyle w:val="56"/>
        <w:ind w:firstLine="420"/>
      </w:pPr>
      <w:r>
        <w:rPr>
          <w:rFonts w:hint="eastAsia"/>
        </w:rPr>
        <w:t>本文件主要起草人：</w:t>
      </w:r>
    </w:p>
    <w:p>
      <w:pPr>
        <w:pStyle w:val="56"/>
        <w:ind w:firstLine="420"/>
      </w:pPr>
    </w:p>
    <w:p>
      <w:pPr>
        <w:pStyle w:val="56"/>
        <w:ind w:firstLine="420"/>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D560330EDA754A8EBF8A08132B9F8B7B"/>
        </w:placeholder>
      </w:sdtPr>
      <w:sdtContent>
        <w:p>
          <w:pPr>
            <w:pStyle w:val="177"/>
            <w:spacing w:before="567" w:beforeLines="182" w:after="686" w:afterLines="220"/>
          </w:pPr>
          <w:bookmarkStart w:id="23" w:name="NEW_STAND_NAME"/>
          <w:r>
            <w:rPr>
              <w:rFonts w:hint="eastAsia"/>
            </w:rPr>
            <w:t>高良姜干燥技术规程</w:t>
          </w:r>
        </w:p>
      </w:sdtContent>
    </w:sdt>
    <w:bookmarkEnd w:id="23"/>
    <w:p>
      <w:pPr>
        <w:pStyle w:val="104"/>
        <w:spacing w:before="312" w:after="312"/>
      </w:pPr>
      <w:bookmarkStart w:id="24" w:name="_Toc17233325"/>
      <w:bookmarkStart w:id="25" w:name="_Toc24884211"/>
      <w:bookmarkStart w:id="26" w:name="_Toc17233333"/>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pPr>
        <w:pStyle w:val="56"/>
        <w:ind w:firstLine="420"/>
      </w:pPr>
      <w:bookmarkStart w:id="32" w:name="_Toc17233326"/>
      <w:bookmarkStart w:id="33" w:name="_Toc17233334"/>
      <w:bookmarkStart w:id="34" w:name="_Toc24884219"/>
      <w:bookmarkStart w:id="35" w:name="_Toc24884212"/>
      <w:bookmarkStart w:id="36" w:name="_Toc26648466"/>
      <w:r>
        <w:rPr>
          <w:rFonts w:hint="eastAsia"/>
        </w:rPr>
        <w:t>本文件规定了高良姜根茎干燥加工的原料要求、前处理、干燥、包装、标识、检验、储藏与运输的方法。</w:t>
      </w:r>
    </w:p>
    <w:p>
      <w:pPr>
        <w:pStyle w:val="56"/>
        <w:ind w:firstLine="420"/>
      </w:pPr>
      <w:r>
        <w:rPr>
          <w:rFonts w:hint="eastAsia"/>
        </w:rPr>
        <w:t>本文件适用于以新鲜高良姜根茎为原料，经</w:t>
      </w:r>
      <w:r>
        <w:rPr>
          <w:rFonts w:hint="eastAsia"/>
          <w:lang w:val="en-US" w:eastAsia="zh-CN"/>
        </w:rPr>
        <w:t>去杂质</w:t>
      </w:r>
      <w:r>
        <w:rPr>
          <w:rFonts w:hint="eastAsia"/>
        </w:rPr>
        <w:t>、</w:t>
      </w:r>
      <w:r>
        <w:rPr>
          <w:rFonts w:hint="eastAsia"/>
          <w:lang w:val="en-US" w:eastAsia="zh-CN"/>
        </w:rPr>
        <w:t>浸泡、</w:t>
      </w:r>
      <w:r>
        <w:rPr>
          <w:rFonts w:hint="eastAsia"/>
        </w:rPr>
        <w:t>清洗、</w:t>
      </w:r>
      <w:r>
        <w:rPr>
          <w:rFonts w:hint="eastAsia"/>
          <w:lang w:val="en-US" w:eastAsia="zh-CN"/>
        </w:rPr>
        <w:t>沥水、</w:t>
      </w:r>
      <w:r>
        <w:rPr>
          <w:rFonts w:hint="eastAsia"/>
        </w:rPr>
        <w:t>干燥、</w:t>
      </w:r>
      <w:r>
        <w:rPr>
          <w:rFonts w:hint="eastAsia"/>
          <w:lang w:val="en-US" w:eastAsia="zh-CN"/>
        </w:rPr>
        <w:t>切分、冷却、挑选、</w:t>
      </w:r>
      <w:r>
        <w:rPr>
          <w:rFonts w:hint="eastAsia"/>
        </w:rPr>
        <w:t>包装等工序进行高良姜干燥产品加工的操作。</w:t>
      </w:r>
    </w:p>
    <w:p>
      <w:pPr>
        <w:pStyle w:val="104"/>
        <w:spacing w:before="312" w:after="312"/>
      </w:pPr>
      <w:bookmarkStart w:id="37" w:name="_Toc26986531"/>
      <w:bookmarkStart w:id="38" w:name="_Toc26986772"/>
      <w:bookmarkStart w:id="39" w:name="_Toc267189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6E46595E4A654EBCBB5B87A6976FA9A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spacing w:line="240" w:lineRule="atLeast"/>
        <w:ind w:firstLine="420"/>
      </w:pPr>
      <w:r>
        <w:t xml:space="preserve">GB/T 191 </w:t>
      </w:r>
      <w:r>
        <w:rPr>
          <w:rFonts w:hint="eastAsia"/>
        </w:rPr>
        <w:t>包装储运图示标志</w:t>
      </w:r>
    </w:p>
    <w:p>
      <w:pPr>
        <w:pStyle w:val="230"/>
        <w:spacing w:line="240" w:lineRule="atLeast"/>
        <w:ind w:firstLine="420"/>
      </w:pPr>
      <w:r>
        <w:rPr>
          <w:rFonts w:hint="eastAsia"/>
        </w:rPr>
        <w:t>GB 4806.9 食品安全国家标准 食品接触用金属材料及制品</w:t>
      </w:r>
    </w:p>
    <w:p>
      <w:pPr>
        <w:pStyle w:val="230"/>
        <w:spacing w:line="240" w:lineRule="atLeast"/>
        <w:ind w:firstLine="420"/>
      </w:pPr>
      <w:r>
        <w:rPr>
          <w:rFonts w:hint="eastAsia"/>
        </w:rPr>
        <w:t>GB 5009.3 食品安全国家标准 食品中水分的测定</w:t>
      </w:r>
    </w:p>
    <w:p>
      <w:pPr>
        <w:pStyle w:val="230"/>
        <w:spacing w:line="240" w:lineRule="atLeast"/>
        <w:ind w:firstLine="420"/>
      </w:pPr>
      <w:r>
        <w:t xml:space="preserve">GB 5749 </w:t>
      </w:r>
      <w:r>
        <w:rPr>
          <w:rFonts w:hint="eastAsia"/>
        </w:rPr>
        <w:t>生活饮用水卫生标准</w:t>
      </w:r>
    </w:p>
    <w:p>
      <w:pPr>
        <w:pStyle w:val="230"/>
        <w:spacing w:line="240" w:lineRule="atLeast"/>
        <w:ind w:firstLine="420"/>
      </w:pPr>
      <w:r>
        <w:rPr>
          <w:rFonts w:hint="eastAsia"/>
        </w:rPr>
        <w:t>GB/T 6543 运输包装用单瓦楞纸箱和双瓦楞纸箱</w:t>
      </w:r>
    </w:p>
    <w:p>
      <w:pPr>
        <w:pStyle w:val="230"/>
        <w:spacing w:line="320" w:lineRule="exact"/>
        <w:ind w:firstLine="420"/>
        <w:rPr>
          <w:rFonts w:hAnsi="宋体"/>
        </w:rPr>
      </w:pPr>
      <w:r>
        <w:rPr>
          <w:rFonts w:hAnsi="宋体"/>
        </w:rPr>
        <w:t xml:space="preserve">GB 7718 </w:t>
      </w:r>
      <w:r>
        <w:rPr>
          <w:rFonts w:hint="eastAsia" w:hAnsi="宋体"/>
        </w:rPr>
        <w:t>食品安全国家标准</w:t>
      </w:r>
      <w:r>
        <w:rPr>
          <w:rFonts w:hAnsi="宋体"/>
        </w:rPr>
        <w:t xml:space="preserve"> </w:t>
      </w:r>
      <w:r>
        <w:rPr>
          <w:rFonts w:hint="eastAsia" w:hAnsi="宋体"/>
        </w:rPr>
        <w:t>预包装食品标签通则</w:t>
      </w:r>
    </w:p>
    <w:p>
      <w:pPr>
        <w:pStyle w:val="230"/>
        <w:spacing w:line="320" w:lineRule="exact"/>
        <w:ind w:firstLine="420"/>
        <w:rPr>
          <w:rFonts w:hAnsi="宋体"/>
        </w:rPr>
      </w:pPr>
      <w:r>
        <w:rPr>
          <w:rFonts w:hint="eastAsia" w:hAnsi="宋体"/>
        </w:rPr>
        <w:t>GB/T 8946 塑料编织袋通用技术要求</w:t>
      </w:r>
    </w:p>
    <w:p>
      <w:pPr>
        <w:pStyle w:val="230"/>
        <w:spacing w:line="320" w:lineRule="exact"/>
        <w:ind w:firstLine="420"/>
        <w:rPr>
          <w:rFonts w:hAnsi="宋体"/>
        </w:rPr>
      </w:pPr>
      <w:r>
        <w:rPr>
          <w:rFonts w:hint="eastAsia" w:hAnsi="宋体"/>
        </w:rPr>
        <w:t>GB 9683 复合食品包装袋卫生标准</w:t>
      </w:r>
    </w:p>
    <w:p>
      <w:pPr>
        <w:pStyle w:val="230"/>
        <w:spacing w:line="320" w:lineRule="exact"/>
        <w:ind w:firstLine="420"/>
        <w:rPr>
          <w:rFonts w:hAnsi="宋体"/>
        </w:rPr>
      </w:pPr>
      <w:r>
        <w:rPr>
          <w:rFonts w:hAnsi="宋体"/>
        </w:rPr>
        <w:t xml:space="preserve">GB 14881 </w:t>
      </w:r>
      <w:r>
        <w:rPr>
          <w:rFonts w:hint="eastAsia" w:hAnsi="宋体"/>
        </w:rPr>
        <w:t>食品安全国家标准 食品生产通用卫生规范</w:t>
      </w:r>
    </w:p>
    <w:p>
      <w:pPr>
        <w:pStyle w:val="230"/>
        <w:spacing w:line="320" w:lineRule="exact"/>
        <w:ind w:firstLine="420"/>
        <w:rPr>
          <w:rFonts w:hAnsi="宋体"/>
        </w:rPr>
      </w:pPr>
      <w:r>
        <w:rPr>
          <w:rFonts w:hint="eastAsia" w:hAnsi="宋体"/>
        </w:rPr>
        <w:t>GB/T 23296.1 食品接触材料 塑料中受限物质 塑料中物质向食品及食品模拟物特定迁移试验和含量测定方法以及食品模拟物暴露条件选择的指南</w:t>
      </w:r>
    </w:p>
    <w:p>
      <w:pPr>
        <w:pStyle w:val="230"/>
        <w:spacing w:line="320" w:lineRule="exact"/>
        <w:ind w:firstLine="420"/>
        <w:rPr>
          <w:rFonts w:hAnsi="宋体"/>
        </w:rPr>
      </w:pPr>
      <w:r>
        <w:rPr>
          <w:rFonts w:hAnsi="宋体"/>
        </w:rPr>
        <w:t xml:space="preserve">GB/T 28118 </w:t>
      </w:r>
      <w:r>
        <w:rPr>
          <w:rFonts w:hint="eastAsia" w:hAnsi="宋体"/>
        </w:rPr>
        <w:t>食品包装用塑料与铝箔复合膜、袋</w:t>
      </w:r>
    </w:p>
    <w:p>
      <w:pPr>
        <w:pStyle w:val="230"/>
        <w:spacing w:line="320" w:lineRule="exact"/>
        <w:ind w:firstLine="420"/>
        <w:rPr>
          <w:rFonts w:hAnsi="宋体"/>
        </w:rPr>
      </w:pPr>
      <w:r>
        <w:rPr>
          <w:rFonts w:hAnsi="宋体"/>
        </w:rPr>
        <w:t xml:space="preserve">JJF 1070 </w:t>
      </w:r>
      <w:r>
        <w:rPr>
          <w:rFonts w:hint="eastAsia" w:hAnsi="宋体"/>
        </w:rPr>
        <w:t>定量包装商品净含量计量检验规则</w:t>
      </w:r>
    </w:p>
    <w:p>
      <w:pPr>
        <w:pStyle w:val="56"/>
        <w:ind w:firstLine="420"/>
        <w:rPr>
          <w:rFonts w:hAnsi="宋体"/>
        </w:rPr>
      </w:pPr>
      <w:r>
        <w:rPr>
          <w:rFonts w:hint="eastAsia" w:hAnsi="宋体"/>
        </w:rPr>
        <w:t>SB/T 11182 中药材包装技术规范</w:t>
      </w:r>
    </w:p>
    <w:p>
      <w:pPr>
        <w:pStyle w:val="56"/>
        <w:ind w:firstLine="420"/>
      </w:pPr>
      <w:r>
        <w:rPr>
          <w:rFonts w:hint="eastAsia" w:hAnsi="宋体"/>
        </w:rPr>
        <w:t>中华人民共和国药典</w:t>
      </w:r>
    </w:p>
    <w:p>
      <w:pPr>
        <w:pStyle w:val="104"/>
        <w:spacing w:before="312" w:after="312"/>
      </w:pPr>
      <w:r>
        <w:rPr>
          <w:rFonts w:hint="eastAsia"/>
          <w:szCs w:val="21"/>
        </w:rPr>
        <w:t>术语和定义</w:t>
      </w:r>
    </w:p>
    <w:sdt>
      <w:sdtPr>
        <w:id w:val="-1909835108"/>
        <w:placeholder>
          <w:docPart w:val="31BF41EF699242759135E72D74F1B47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0" w:name="_Toc26986532"/>
          <w:bookmarkEnd w:id="40"/>
          <w:r>
            <w:t>下列术语和定义适用于本文件。</w:t>
          </w:r>
        </w:p>
      </w:sdtContent>
    </w:sdt>
    <w:p>
      <w:pPr>
        <w:pStyle w:val="105"/>
        <w:spacing w:before="156" w:after="156"/>
        <w:rPr>
          <w:rFonts w:hAnsi="宋体"/>
        </w:rPr>
      </w:pPr>
      <w:r>
        <w:rPr>
          <w:rFonts w:hAnsi="宋体"/>
        </w:rPr>
        <w:t>高良姜片 galangal slices</w:t>
      </w:r>
    </w:p>
    <w:p>
      <w:pPr>
        <w:pStyle w:val="56"/>
        <w:ind w:firstLine="420"/>
      </w:pPr>
      <w:r>
        <w:rPr>
          <w:rFonts w:hint="eastAsia"/>
        </w:rPr>
        <w:t>新鲜高良姜根茎经前处理、初步干燥、切片、二次干燥等工艺加工制成的高良姜干制品，呈片状，厚度一般不超过1</w:t>
      </w:r>
      <w:r>
        <w:t xml:space="preserve">0 </w:t>
      </w:r>
      <w:r>
        <w:rPr>
          <w:rFonts w:hint="eastAsia"/>
        </w:rPr>
        <w:t>mm。</w:t>
      </w:r>
    </w:p>
    <w:p>
      <w:pPr>
        <w:pStyle w:val="105"/>
        <w:spacing w:before="156" w:after="156"/>
        <w:rPr>
          <w:rFonts w:hAnsi="宋体"/>
        </w:rPr>
      </w:pPr>
      <w:r>
        <w:rPr>
          <w:rFonts w:hint="eastAsia" w:hAnsi="宋体"/>
        </w:rPr>
        <w:t>高良姜段（个子）</w:t>
      </w:r>
    </w:p>
    <w:p>
      <w:pPr>
        <w:pStyle w:val="56"/>
        <w:ind w:firstLine="420"/>
      </w:pPr>
      <w:r>
        <w:rPr>
          <w:rFonts w:hint="eastAsia"/>
        </w:rPr>
        <w:t>新鲜高良姜根茎经前处理、初步干燥、切段、二次干燥等工艺加工制成的高良姜干制品，呈段状，长度约</w:t>
      </w:r>
      <w:r>
        <w:t>20</w:t>
      </w:r>
      <w:r>
        <w:rPr>
          <w:rFonts w:hint="eastAsia"/>
        </w:rPr>
        <w:t>～</w:t>
      </w:r>
      <w:r>
        <w:t>70 m</w:t>
      </w:r>
      <w:r>
        <w:rPr>
          <w:rFonts w:hint="eastAsia"/>
        </w:rPr>
        <w:t>m。</w:t>
      </w:r>
    </w:p>
    <w:p>
      <w:pPr>
        <w:pStyle w:val="104"/>
        <w:spacing w:before="312" w:after="312"/>
      </w:pPr>
      <w:r>
        <w:rPr>
          <w:rFonts w:hint="eastAsia"/>
        </w:rPr>
        <w:t>原料要求</w:t>
      </w:r>
    </w:p>
    <w:p>
      <w:pPr>
        <w:pStyle w:val="56"/>
        <w:ind w:firstLine="420"/>
      </w:pPr>
      <w:r>
        <w:rPr>
          <w:rFonts w:hint="eastAsia"/>
        </w:rPr>
        <w:t>新鲜</w:t>
      </w:r>
      <w:r>
        <w:t>高良姜</w:t>
      </w:r>
      <w:r>
        <w:rPr>
          <w:rFonts w:hint="eastAsia"/>
        </w:rPr>
        <w:t>根茎应符合</w:t>
      </w:r>
      <w:r>
        <w:t>表1</w:t>
      </w:r>
      <w:r>
        <w:rPr>
          <w:rFonts w:hint="eastAsia"/>
        </w:rPr>
        <w:t>的</w:t>
      </w:r>
      <w:r>
        <w:t>验收</w:t>
      </w:r>
      <w:r>
        <w:rPr>
          <w:rFonts w:hint="eastAsia"/>
        </w:rPr>
        <w:t>要求，</w:t>
      </w:r>
      <w:r>
        <w:t>验收后，应存放于通风干燥的仓库或平整干净场地上。</w:t>
      </w:r>
    </w:p>
    <w:p>
      <w:pPr>
        <w:pStyle w:val="112"/>
        <w:spacing w:before="156" w:after="156"/>
      </w:pPr>
      <w:r>
        <w:rPr>
          <w:rFonts w:hint="eastAsia"/>
        </w:rPr>
        <w:t>新鲜</w:t>
      </w:r>
      <w:r>
        <w:t>高良姜</w:t>
      </w:r>
      <w:r>
        <w:rPr>
          <w:rFonts w:hint="eastAsia"/>
        </w:rPr>
        <w:t>验</w:t>
      </w:r>
      <w:r>
        <w:t>收</w:t>
      </w:r>
      <w:r>
        <w:rPr>
          <w:rFonts w:hint="eastAsia"/>
        </w:rPr>
        <w:t>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5"/>
        <w:gridCol w:w="46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5" w:type="dxa"/>
            <w:tcBorders>
              <w:top w:val="single" w:color="auto" w:sz="8" w:space="0"/>
              <w:bottom w:val="single" w:color="auto" w:sz="8" w:space="0"/>
            </w:tcBorders>
            <w:shd w:val="clear" w:color="auto" w:fill="auto"/>
            <w:vAlign w:val="center"/>
          </w:tcPr>
          <w:p>
            <w:pPr>
              <w:pStyle w:val="178"/>
            </w:pPr>
            <w:r>
              <w:t>指标</w:t>
            </w:r>
          </w:p>
        </w:tc>
        <w:tc>
          <w:tcPr>
            <w:tcW w:w="4669" w:type="dxa"/>
            <w:tcBorders>
              <w:top w:val="single" w:color="auto" w:sz="8" w:space="0"/>
              <w:bottom w:val="single" w:color="auto" w:sz="8" w:space="0"/>
            </w:tcBorders>
            <w:shd w:val="clear" w:color="auto" w:fill="auto"/>
            <w:vAlign w:val="center"/>
          </w:tcPr>
          <w:p>
            <w:pPr>
              <w:pStyle w:val="178"/>
            </w:pPr>
            <w: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5" w:type="dxa"/>
            <w:tcBorders>
              <w:top w:val="single" w:color="auto" w:sz="8" w:space="0"/>
            </w:tcBorders>
            <w:shd w:val="clear" w:color="auto" w:fill="auto"/>
            <w:vAlign w:val="center"/>
          </w:tcPr>
          <w:p>
            <w:pPr>
              <w:pStyle w:val="178"/>
            </w:pPr>
            <w:r>
              <w:rPr>
                <w:rFonts w:hint="eastAsia"/>
              </w:rPr>
              <w:t>外观</w:t>
            </w:r>
          </w:p>
        </w:tc>
        <w:tc>
          <w:tcPr>
            <w:tcW w:w="4669" w:type="dxa"/>
            <w:tcBorders>
              <w:top w:val="single" w:color="auto" w:sz="8" w:space="0"/>
            </w:tcBorders>
            <w:shd w:val="clear" w:color="auto" w:fill="auto"/>
            <w:vAlign w:val="center"/>
          </w:tcPr>
          <w:p>
            <w:pPr>
              <w:pStyle w:val="178"/>
            </w:pPr>
            <w:r>
              <w:rPr>
                <w:rFonts w:hint="eastAsia"/>
              </w:rPr>
              <w:t>表面无明显机械损伤，无霉变和虫蛀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5" w:type="dxa"/>
            <w:shd w:val="clear" w:color="auto" w:fill="auto"/>
            <w:vAlign w:val="center"/>
          </w:tcPr>
          <w:p>
            <w:pPr>
              <w:pStyle w:val="178"/>
            </w:pPr>
            <w:r>
              <w:rPr>
                <w:rFonts w:hint="eastAsia"/>
              </w:rPr>
              <w:t>香气</w:t>
            </w:r>
          </w:p>
        </w:tc>
        <w:tc>
          <w:tcPr>
            <w:tcW w:w="4669" w:type="dxa"/>
            <w:shd w:val="clear" w:color="auto" w:fill="auto"/>
            <w:vAlign w:val="center"/>
          </w:tcPr>
          <w:p>
            <w:pPr>
              <w:pStyle w:val="178"/>
            </w:pPr>
            <w:r>
              <w:rPr>
                <w:rFonts w:hint="eastAsia"/>
              </w:rPr>
              <w:t>具有高良姜特征香气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5" w:type="dxa"/>
            <w:shd w:val="clear" w:color="auto" w:fill="auto"/>
            <w:vAlign w:val="center"/>
          </w:tcPr>
          <w:p>
            <w:pPr>
              <w:pStyle w:val="178"/>
            </w:pPr>
            <w:r>
              <w:rPr>
                <w:rFonts w:hint="eastAsia"/>
              </w:rPr>
              <w:t>生长年限</w:t>
            </w:r>
          </w:p>
        </w:tc>
        <w:tc>
          <w:tcPr>
            <w:tcW w:w="4669" w:type="dxa"/>
            <w:shd w:val="clear" w:color="auto" w:fill="auto"/>
            <w:vAlign w:val="center"/>
          </w:tcPr>
          <w:p>
            <w:pPr>
              <w:pStyle w:val="178"/>
            </w:pPr>
            <w:r>
              <w:rPr>
                <w:rFonts w:hint="eastAsia"/>
              </w:rPr>
              <w:t>三年或三年以上</w:t>
            </w:r>
          </w:p>
        </w:tc>
      </w:tr>
    </w:tbl>
    <w:p>
      <w:pPr>
        <w:pStyle w:val="104"/>
        <w:spacing w:before="312" w:after="312"/>
      </w:pPr>
      <w:r>
        <w:rPr>
          <w:rFonts w:hint="eastAsia"/>
        </w:rPr>
        <w:t>前处理</w:t>
      </w:r>
    </w:p>
    <w:p>
      <w:pPr>
        <w:pStyle w:val="105"/>
        <w:spacing w:before="156" w:after="156"/>
        <w:rPr>
          <w:rFonts w:hAnsi="宋体"/>
        </w:rPr>
      </w:pPr>
      <w:r>
        <w:rPr>
          <w:rFonts w:hAnsi="宋体"/>
        </w:rPr>
        <w:t>去</w:t>
      </w:r>
      <w:r>
        <w:rPr>
          <w:rFonts w:hint="eastAsia" w:hAnsi="宋体"/>
        </w:rPr>
        <w:t>杂质</w:t>
      </w:r>
    </w:p>
    <w:p>
      <w:pPr>
        <w:pStyle w:val="56"/>
        <w:ind w:firstLine="420"/>
      </w:pPr>
      <w:r>
        <w:rPr>
          <w:rFonts w:hint="eastAsia"/>
        </w:rPr>
        <w:t>挑选去除高良姜根茎中残留的茎叶、树枝、石块等杂质，将原料用筛网或通过翻动初步去除附着在表面的泥沙。</w:t>
      </w:r>
    </w:p>
    <w:p>
      <w:pPr>
        <w:pStyle w:val="105"/>
        <w:spacing w:before="156" w:after="156"/>
      </w:pPr>
      <w:r>
        <w:rPr>
          <w:rFonts w:hint="eastAsia"/>
        </w:rPr>
        <w:t>浸泡</w:t>
      </w:r>
    </w:p>
    <w:p>
      <w:pPr>
        <w:pStyle w:val="56"/>
        <w:ind w:firstLine="420"/>
      </w:pPr>
      <w:r>
        <w:rPr>
          <w:rFonts w:hint="eastAsia"/>
        </w:rPr>
        <w:t>将去除杂质的高良姜根茎置于浸泡池进行浸泡，水面没过原料不少于</w:t>
      </w:r>
      <w:bookmarkStart w:id="41" w:name="_Hlk149697523"/>
      <w:r>
        <w:rPr>
          <w:rFonts w:hint="eastAsia"/>
        </w:rPr>
        <w:t>5 cm</w:t>
      </w:r>
      <w:bookmarkEnd w:id="41"/>
      <w:r>
        <w:rPr>
          <w:rFonts w:hint="eastAsia"/>
        </w:rPr>
        <w:t>，浸泡时间1</w:t>
      </w:r>
      <w:bookmarkStart w:id="42" w:name="_Hlk149697583"/>
      <w:r>
        <w:rPr>
          <w:rFonts w:hint="eastAsia" w:ascii="仿宋_GB2312" w:eastAsia="仿宋_GB2312"/>
        </w:rPr>
        <w:t>～</w:t>
      </w:r>
      <w:bookmarkEnd w:id="42"/>
      <w:r>
        <w:rPr>
          <w:rFonts w:hint="eastAsia"/>
        </w:rPr>
        <w:t>2 min，浸泡过程中适当翻动，使表面泥沙松软。</w:t>
      </w:r>
    </w:p>
    <w:p>
      <w:pPr>
        <w:pStyle w:val="105"/>
        <w:spacing w:before="156" w:after="156"/>
      </w:pPr>
      <w:r>
        <w:rPr>
          <w:rFonts w:hint="eastAsia"/>
        </w:rPr>
        <w:t>清洗</w:t>
      </w:r>
    </w:p>
    <w:p>
      <w:pPr>
        <w:pStyle w:val="56"/>
        <w:ind w:firstLine="420"/>
      </w:pPr>
      <w:r>
        <w:rPr>
          <w:rFonts w:hint="eastAsia"/>
        </w:rPr>
        <w:t>将浸泡后的高良姜根茎捞起或经输送装置送入清洗区进行清洗，有条件的可借助</w:t>
      </w:r>
      <w:bookmarkStart w:id="43" w:name="_Hlk149698197"/>
      <w:r>
        <w:rPr>
          <w:rFonts w:hint="eastAsia"/>
        </w:rPr>
        <w:t>高压喷淋、超声、鼓泡等装置进行</w:t>
      </w:r>
      <w:bookmarkEnd w:id="43"/>
      <w:r>
        <w:rPr>
          <w:rFonts w:hint="eastAsia"/>
        </w:rPr>
        <w:t>辅助，清洗过程中均匀翻动，使原料表面各部位清洗到位，清洗时间控制在1</w:t>
      </w:r>
      <w:r>
        <w:rPr>
          <w:rFonts w:hint="eastAsia" w:ascii="仿宋_GB2312" w:eastAsia="仿宋_GB2312"/>
        </w:rPr>
        <w:t>～</w:t>
      </w:r>
      <w:r>
        <w:rPr>
          <w:rFonts w:hint="eastAsia"/>
        </w:rPr>
        <w:t>2 min，至少进行两次清洗，以清洗后水质清澈无肉眼可见浑浊作为清洗终点。清洗用水应符合</w:t>
      </w:r>
      <w:r>
        <w:rPr>
          <w:rFonts w:hint="eastAsia"/>
          <w:lang w:val="en-US" w:eastAsia="zh-CN"/>
        </w:rPr>
        <w:t xml:space="preserve"> </w:t>
      </w:r>
      <w:r>
        <w:rPr>
          <w:rFonts w:hint="eastAsia"/>
        </w:rPr>
        <w:t>GB 5749</w:t>
      </w:r>
      <w:r>
        <w:rPr>
          <w:rFonts w:hint="eastAsia"/>
          <w:lang w:val="en-US" w:eastAsia="zh-CN"/>
        </w:rPr>
        <w:t xml:space="preserve"> </w:t>
      </w:r>
      <w:r>
        <w:rPr>
          <w:rFonts w:hint="eastAsia"/>
        </w:rPr>
        <w:t>的要求，设备应符合</w:t>
      </w:r>
      <w:r>
        <w:rPr>
          <w:rFonts w:hint="eastAsia"/>
          <w:lang w:val="en-US" w:eastAsia="zh-CN"/>
        </w:rPr>
        <w:t xml:space="preserve"> </w:t>
      </w:r>
      <w:r>
        <w:t>GB 4806.9</w:t>
      </w:r>
      <w:r>
        <w:rPr>
          <w:rFonts w:hint="eastAsia"/>
          <w:lang w:val="en-US" w:eastAsia="zh-CN"/>
        </w:rPr>
        <w:t xml:space="preserve"> </w:t>
      </w:r>
      <w:r>
        <w:rPr>
          <w:rFonts w:hint="eastAsia"/>
        </w:rPr>
        <w:t>的要求，场地应符合 GB 14881</w:t>
      </w:r>
      <w:r>
        <w:rPr>
          <w:rFonts w:hint="eastAsia"/>
          <w:lang w:val="en-US" w:eastAsia="zh-CN"/>
        </w:rPr>
        <w:t xml:space="preserve"> </w:t>
      </w:r>
      <w:r>
        <w:rPr>
          <w:rFonts w:hint="eastAsia"/>
        </w:rPr>
        <w:t>的规定。</w:t>
      </w:r>
    </w:p>
    <w:p>
      <w:pPr>
        <w:pStyle w:val="105"/>
        <w:spacing w:before="156" w:after="156"/>
      </w:pPr>
      <w:r>
        <w:rPr>
          <w:rFonts w:hint="eastAsia"/>
        </w:rPr>
        <w:t>沥水</w:t>
      </w:r>
    </w:p>
    <w:p>
      <w:pPr>
        <w:pStyle w:val="56"/>
        <w:ind w:firstLine="420"/>
      </w:pPr>
      <w:r>
        <w:rPr>
          <w:rFonts w:hint="eastAsia"/>
        </w:rPr>
        <w:t>将清洗后的高良姜根茎置于通风场所自然晾干表面水分，或通过输送装置送入振动网带、风干系统等脱除表面水分，至无可见明水，设备或装置应符合</w:t>
      </w:r>
      <w:r>
        <w:rPr>
          <w:rFonts w:hint="eastAsia"/>
          <w:lang w:val="en-US" w:eastAsia="zh-CN"/>
        </w:rPr>
        <w:t xml:space="preserve"> </w:t>
      </w:r>
      <w:r>
        <w:rPr>
          <w:rFonts w:hint="eastAsia"/>
        </w:rPr>
        <w:t>GB 4806.9</w:t>
      </w:r>
      <w:r>
        <w:rPr>
          <w:rFonts w:hint="eastAsia"/>
          <w:lang w:val="en-US" w:eastAsia="zh-CN"/>
        </w:rPr>
        <w:t xml:space="preserve"> </w:t>
      </w:r>
      <w:r>
        <w:rPr>
          <w:rFonts w:hint="eastAsia"/>
        </w:rPr>
        <w:t>的要求，场地应符合</w:t>
      </w:r>
      <w:r>
        <w:rPr>
          <w:rFonts w:hint="eastAsia"/>
          <w:lang w:val="en-US" w:eastAsia="zh-CN"/>
        </w:rPr>
        <w:t xml:space="preserve"> </w:t>
      </w:r>
      <w:r>
        <w:rPr>
          <w:rFonts w:hint="eastAsia"/>
        </w:rPr>
        <w:t>GB 14881</w:t>
      </w:r>
      <w:r>
        <w:rPr>
          <w:rFonts w:hint="eastAsia"/>
          <w:lang w:val="en-US" w:eastAsia="zh-CN"/>
        </w:rPr>
        <w:t xml:space="preserve"> </w:t>
      </w:r>
      <w:r>
        <w:rPr>
          <w:rFonts w:hint="eastAsia"/>
        </w:rPr>
        <w:t>的规定。</w:t>
      </w:r>
    </w:p>
    <w:p>
      <w:pPr>
        <w:pStyle w:val="104"/>
        <w:spacing w:before="312" w:after="312"/>
      </w:pPr>
      <w:r>
        <w:rPr>
          <w:rFonts w:hint="eastAsia"/>
        </w:rPr>
        <w:t>干燥</w:t>
      </w:r>
    </w:p>
    <w:p>
      <w:pPr>
        <w:pStyle w:val="105"/>
        <w:spacing w:before="156" w:after="156"/>
      </w:pPr>
      <w:r>
        <w:rPr>
          <w:rFonts w:hint="eastAsia"/>
        </w:rPr>
        <w:t>初步干燥</w:t>
      </w:r>
    </w:p>
    <w:p>
      <w:pPr>
        <w:pStyle w:val="56"/>
        <w:ind w:firstLine="420"/>
      </w:pPr>
      <w:r>
        <w:rPr>
          <w:rFonts w:hint="eastAsia"/>
        </w:rPr>
        <w:t>将清洗完毕的高良姜根茎于不高于</w:t>
      </w:r>
      <w:r>
        <w:t>85</w:t>
      </w:r>
      <w:r>
        <w:rPr>
          <w:rFonts w:hint="eastAsia"/>
        </w:rPr>
        <w:t>℃条件下进行初步干燥，堆放时尽量保持厚度均匀，确保烘干效果的一致性，干燥过程要及时除湿，当烘干至高良姜表面明显皱缩时干燥终止，该阶段高良姜根茎含水量降至</w:t>
      </w:r>
      <w:r>
        <w:t>30%</w:t>
      </w:r>
      <w:r>
        <w:rPr>
          <w:rFonts w:hint="eastAsia" w:ascii="仿宋_GB2312" w:eastAsia="仿宋_GB2312"/>
        </w:rPr>
        <w:t>～</w:t>
      </w:r>
      <w:r>
        <w:t>50%</w:t>
      </w:r>
      <w:r>
        <w:rPr>
          <w:rFonts w:hint="eastAsia"/>
        </w:rPr>
        <w:t>。</w:t>
      </w:r>
    </w:p>
    <w:p>
      <w:pPr>
        <w:pStyle w:val="105"/>
        <w:spacing w:before="156" w:after="156"/>
      </w:pPr>
      <w:r>
        <w:rPr>
          <w:rFonts w:hint="eastAsia"/>
        </w:rPr>
        <w:t>切分</w:t>
      </w:r>
    </w:p>
    <w:p>
      <w:pPr>
        <w:pStyle w:val="56"/>
        <w:ind w:firstLine="420"/>
      </w:pPr>
      <w:r>
        <w:rPr>
          <w:rFonts w:hint="eastAsia"/>
        </w:rPr>
        <w:t>根据实际生产需求，</w:t>
      </w:r>
      <w:r>
        <w:t>将初步干燥后的高良姜</w:t>
      </w:r>
      <w:r>
        <w:rPr>
          <w:rFonts w:hint="eastAsia"/>
        </w:rPr>
        <w:t>根茎横切成均匀的片状或段状，高良姜片的切分厚度控制在</w:t>
      </w:r>
      <w:r>
        <w:t>1</w:t>
      </w:r>
      <w:r>
        <w:rPr>
          <w:rFonts w:hint="eastAsia" w:ascii="仿宋_GB2312" w:eastAsia="仿宋_GB2312"/>
        </w:rPr>
        <w:t>～</w:t>
      </w:r>
      <w:r>
        <w:t>10</w:t>
      </w:r>
      <w:r>
        <w:rPr>
          <w:w w:val="50"/>
        </w:rPr>
        <w:t xml:space="preserve"> </w:t>
      </w:r>
      <w:r>
        <w:t>mm</w:t>
      </w:r>
      <w:r>
        <w:rPr>
          <w:rFonts w:hint="eastAsia"/>
        </w:rPr>
        <w:t>，高良姜段的切分厚度控制在</w:t>
      </w:r>
      <w:r>
        <w:t>20</w:t>
      </w:r>
      <w:r>
        <w:rPr>
          <w:rFonts w:hint="eastAsia" w:ascii="仿宋_GB2312" w:eastAsia="仿宋_GB2312"/>
        </w:rPr>
        <w:t>～</w:t>
      </w:r>
      <w:r>
        <w:t xml:space="preserve">70 </w:t>
      </w:r>
      <w:r>
        <w:rPr>
          <w:rFonts w:hint="eastAsia"/>
        </w:rPr>
        <w:t>mm，厚度或长度应均匀一致。</w:t>
      </w:r>
    </w:p>
    <w:p>
      <w:pPr>
        <w:pStyle w:val="105"/>
        <w:spacing w:before="156" w:after="156"/>
        <w:rPr>
          <w:rFonts w:hAnsi="宋体"/>
        </w:rPr>
      </w:pPr>
      <w:r>
        <w:rPr>
          <w:rFonts w:hAnsi="宋体"/>
        </w:rPr>
        <w:t>二次干燥</w:t>
      </w:r>
    </w:p>
    <w:p>
      <w:pPr>
        <w:pStyle w:val="56"/>
        <w:ind w:firstLine="420"/>
      </w:pPr>
      <w:r>
        <w:rPr>
          <w:rFonts w:hint="eastAsia"/>
        </w:rPr>
        <w:t>将切分后的高良姜根茎平铺于干净晒场或干燥托盘中进行二次干燥，干燥温度不超过7</w:t>
      </w:r>
      <w:r>
        <w:t>0</w:t>
      </w:r>
      <w:r>
        <w:rPr>
          <w:rFonts w:hint="eastAsia"/>
        </w:rPr>
        <w:t>℃，厚薄均匀，高良姜片平铺厚度不超过5 cm，高良姜段平铺厚度不超过1</w:t>
      </w:r>
      <w:r>
        <w:t xml:space="preserve">5 </w:t>
      </w:r>
      <w:r>
        <w:rPr>
          <w:rFonts w:hint="eastAsia"/>
        </w:rPr>
        <w:t>cm，干燥过程要及时除湿，在物料水分含量低于</w:t>
      </w:r>
      <w:r>
        <w:t>10%</w:t>
      </w:r>
      <w:r>
        <w:rPr>
          <w:rFonts w:hint="eastAsia"/>
        </w:rPr>
        <w:t>时，干燥终止。设备或装置应符合</w:t>
      </w:r>
      <w:r>
        <w:rPr>
          <w:rFonts w:hint="eastAsia"/>
          <w:lang w:val="en-US" w:eastAsia="zh-CN"/>
        </w:rPr>
        <w:t xml:space="preserve"> </w:t>
      </w:r>
      <w:r>
        <w:rPr>
          <w:rFonts w:hint="eastAsia"/>
        </w:rPr>
        <w:t>GB 4806.9</w:t>
      </w:r>
      <w:r>
        <w:rPr>
          <w:rFonts w:hint="eastAsia"/>
          <w:lang w:val="en-US" w:eastAsia="zh-CN"/>
        </w:rPr>
        <w:t xml:space="preserve"> </w:t>
      </w:r>
      <w:r>
        <w:rPr>
          <w:rFonts w:hint="eastAsia"/>
        </w:rPr>
        <w:t>的要求，场地应符合</w:t>
      </w:r>
      <w:r>
        <w:rPr>
          <w:rFonts w:hint="eastAsia"/>
          <w:lang w:val="en-US" w:eastAsia="zh-CN"/>
        </w:rPr>
        <w:t xml:space="preserve"> </w:t>
      </w:r>
      <w:r>
        <w:rPr>
          <w:rFonts w:hint="eastAsia"/>
        </w:rPr>
        <w:t>GB 14881</w:t>
      </w:r>
      <w:r>
        <w:rPr>
          <w:rFonts w:hint="eastAsia"/>
          <w:lang w:val="en-US" w:eastAsia="zh-CN"/>
        </w:rPr>
        <w:t xml:space="preserve"> </w:t>
      </w:r>
      <w:r>
        <w:rPr>
          <w:rFonts w:hint="eastAsia"/>
        </w:rPr>
        <w:t>的规定。</w:t>
      </w:r>
    </w:p>
    <w:p>
      <w:pPr>
        <w:pStyle w:val="105"/>
        <w:spacing w:before="156" w:after="156"/>
        <w:rPr>
          <w:rFonts w:hAnsi="宋体"/>
        </w:rPr>
      </w:pPr>
      <w:r>
        <w:rPr>
          <w:rFonts w:hint="eastAsia" w:hAnsi="宋体"/>
        </w:rPr>
        <w:t>冷却</w:t>
      </w:r>
    </w:p>
    <w:p>
      <w:pPr>
        <w:pStyle w:val="56"/>
        <w:ind w:firstLine="420"/>
      </w:pPr>
      <w:r>
        <w:rPr>
          <w:rFonts w:hint="eastAsia"/>
        </w:rPr>
        <w:t>干燥后的高良姜应降至室温后再进行后续处理。</w:t>
      </w:r>
    </w:p>
    <w:p>
      <w:pPr>
        <w:pStyle w:val="105"/>
        <w:spacing w:before="156" w:after="156"/>
      </w:pPr>
      <w:r>
        <w:rPr>
          <w:rFonts w:hint="eastAsia"/>
        </w:rPr>
        <w:t>挑选</w:t>
      </w:r>
    </w:p>
    <w:p>
      <w:pPr>
        <w:pStyle w:val="56"/>
        <w:ind w:firstLine="420"/>
      </w:pPr>
      <w:r>
        <w:t>检查</w:t>
      </w:r>
      <w:r>
        <w:rPr>
          <w:rFonts w:hint="eastAsia"/>
        </w:rPr>
        <w:t>冷却后的高良姜片或高良姜段</w:t>
      </w:r>
      <w:r>
        <w:t>形状、</w:t>
      </w:r>
      <w:r>
        <w:rPr>
          <w:rFonts w:hint="eastAsia"/>
        </w:rPr>
        <w:t>厚度、长度等</w:t>
      </w:r>
      <w:r>
        <w:t>规格是否符合要求，</w:t>
      </w:r>
      <w:r>
        <w:rPr>
          <w:rFonts w:hint="eastAsia"/>
        </w:rPr>
        <w:t>用5</w:t>
      </w:r>
      <w:r>
        <w:rPr>
          <w:rFonts w:hint="eastAsia" w:ascii="仿宋_GB2312" w:eastAsia="仿宋_GB2312"/>
        </w:rPr>
        <w:t>～</w:t>
      </w:r>
      <w:r>
        <w:rPr>
          <w:rFonts w:hint="eastAsia"/>
        </w:rPr>
        <w:t>1</w:t>
      </w:r>
      <w:r>
        <w:t>0</w:t>
      </w:r>
      <w:r>
        <w:rPr>
          <w:rFonts w:hint="eastAsia"/>
        </w:rPr>
        <w:t>目筛网筛去细粉，进一步剔除其中的杂质或异形产品</w:t>
      </w:r>
      <w:r>
        <w:t>。</w:t>
      </w:r>
    </w:p>
    <w:p>
      <w:pPr>
        <w:pStyle w:val="104"/>
        <w:spacing w:before="312" w:after="312"/>
      </w:pPr>
      <w:r>
        <w:rPr>
          <w:rFonts w:hint="eastAsia"/>
        </w:rPr>
        <w:t>包装与标签</w:t>
      </w:r>
    </w:p>
    <w:p>
      <w:pPr>
        <w:pStyle w:val="162"/>
      </w:pPr>
      <w:r>
        <w:rPr>
          <w:rFonts w:hint="eastAsia"/>
        </w:rPr>
        <w:t>用作食品或</w:t>
      </w:r>
      <w:r>
        <w:t>药材饮片</w:t>
      </w:r>
      <w:r>
        <w:rPr>
          <w:rFonts w:hint="eastAsia"/>
        </w:rPr>
        <w:t>时应采用</w:t>
      </w:r>
      <w:r>
        <w:t>高阻隔性密封袋进行包装，</w:t>
      </w:r>
      <w:r>
        <w:rPr>
          <w:rFonts w:hint="eastAsia"/>
        </w:rPr>
        <w:t>用作中间原料时应采用防潮包装，包装材料应干燥、洁净、无毒无害、无异味，包装材料应符合</w:t>
      </w:r>
      <w:r>
        <w:rPr>
          <w:rFonts w:hint="eastAsia"/>
          <w:lang w:val="en-US" w:eastAsia="zh-CN"/>
        </w:rPr>
        <w:t xml:space="preserve"> </w:t>
      </w:r>
      <w:r>
        <w:rPr>
          <w:rFonts w:hint="eastAsia"/>
        </w:rPr>
        <w:t>GB 9683、GB/T 6543、GB/T 8946、GB/T 28118、SB/T 11182</w:t>
      </w:r>
      <w:r>
        <w:rPr>
          <w:rFonts w:hint="eastAsia"/>
          <w:lang w:val="en-US" w:eastAsia="zh-CN"/>
        </w:rPr>
        <w:t xml:space="preserve"> </w:t>
      </w:r>
      <w:r>
        <w:rPr>
          <w:rFonts w:hint="eastAsia"/>
        </w:rPr>
        <w:t>的要求，其他包装材料和容器也必须符合相应国家标准和有关规定；净含量应符合</w:t>
      </w:r>
      <w:r>
        <w:rPr>
          <w:rFonts w:hint="eastAsia"/>
          <w:lang w:val="en-US" w:eastAsia="zh-CN"/>
        </w:rPr>
        <w:t xml:space="preserve"> </w:t>
      </w:r>
      <w:r>
        <w:rPr>
          <w:rFonts w:hint="eastAsia"/>
        </w:rPr>
        <w:t>JJF 1070 的规定。</w:t>
      </w:r>
    </w:p>
    <w:p>
      <w:pPr>
        <w:pStyle w:val="162"/>
      </w:pPr>
      <w:r>
        <w:t>标签标识应符合</w:t>
      </w:r>
      <w:r>
        <w:rPr>
          <w:rFonts w:hint="eastAsia"/>
          <w:lang w:val="en-US" w:eastAsia="zh-CN"/>
        </w:rPr>
        <w:t xml:space="preserve"> </w:t>
      </w:r>
      <w:r>
        <w:t>GB 7718</w:t>
      </w:r>
      <w:r>
        <w:rPr>
          <w:rFonts w:hint="eastAsia"/>
          <w:lang w:val="en-US" w:eastAsia="zh-CN"/>
        </w:rPr>
        <w:t xml:space="preserve"> </w:t>
      </w:r>
      <w:r>
        <w:t>的规定，包装储运标识应符合GB 191</w:t>
      </w:r>
      <w:r>
        <w:rPr>
          <w:rFonts w:hint="eastAsia"/>
          <w:lang w:val="en-US" w:eastAsia="zh-CN"/>
        </w:rPr>
        <w:t xml:space="preserve"> </w:t>
      </w:r>
      <w:r>
        <w:t>和</w:t>
      </w:r>
      <w:r>
        <w:rPr>
          <w:rFonts w:hint="eastAsia"/>
          <w:lang w:val="en-US" w:eastAsia="zh-CN"/>
        </w:rPr>
        <w:t xml:space="preserve"> </w:t>
      </w:r>
      <w:r>
        <w:t>GB 6388</w:t>
      </w:r>
      <w:r>
        <w:rPr>
          <w:rFonts w:hint="eastAsia"/>
          <w:lang w:val="en-US" w:eastAsia="zh-CN"/>
        </w:rPr>
        <w:t xml:space="preserve"> </w:t>
      </w:r>
      <w:r>
        <w:t>的规定。</w:t>
      </w:r>
    </w:p>
    <w:p>
      <w:pPr>
        <w:pStyle w:val="104"/>
        <w:spacing w:before="312" w:after="312"/>
      </w:pPr>
      <w:r>
        <w:rPr>
          <w:rFonts w:hint="eastAsia"/>
        </w:rPr>
        <w:t>检验</w:t>
      </w:r>
    </w:p>
    <w:p>
      <w:pPr>
        <w:pStyle w:val="105"/>
        <w:spacing w:before="156" w:after="156"/>
      </w:pPr>
      <w:r>
        <w:rPr>
          <w:rFonts w:hint="eastAsia"/>
        </w:rPr>
        <w:t>水分含量</w:t>
      </w:r>
    </w:p>
    <w:p>
      <w:pPr>
        <w:pStyle w:val="56"/>
        <w:ind w:firstLine="420"/>
      </w:pPr>
      <w:r>
        <w:rPr>
          <w:rFonts w:hint="eastAsia"/>
        </w:rPr>
        <w:t>按照</w:t>
      </w:r>
      <w:r>
        <w:rPr>
          <w:rFonts w:hint="eastAsia"/>
          <w:lang w:val="en-US" w:eastAsia="zh-CN"/>
        </w:rPr>
        <w:t xml:space="preserve"> </w:t>
      </w:r>
      <w:r>
        <w:rPr>
          <w:rFonts w:hint="eastAsia"/>
        </w:rPr>
        <w:t>GB 5009.3</w:t>
      </w:r>
      <w:r>
        <w:rPr>
          <w:rFonts w:hint="eastAsia"/>
          <w:lang w:val="en-US" w:eastAsia="zh-CN"/>
        </w:rPr>
        <w:t xml:space="preserve"> </w:t>
      </w:r>
      <w:bookmarkStart w:id="45" w:name="_GoBack"/>
      <w:bookmarkEnd w:id="45"/>
      <w:r>
        <w:rPr>
          <w:rFonts w:hint="eastAsia"/>
        </w:rPr>
        <w:t>的方法进行检验。</w:t>
      </w:r>
    </w:p>
    <w:p>
      <w:pPr>
        <w:pStyle w:val="105"/>
        <w:spacing w:before="156" w:after="156"/>
        <w:rPr>
          <w:rFonts w:hAnsi="宋体"/>
        </w:rPr>
      </w:pPr>
      <w:r>
        <w:rPr>
          <w:rFonts w:hint="eastAsia" w:hAnsi="宋体"/>
        </w:rPr>
        <w:t>高良姜素含量</w:t>
      </w:r>
    </w:p>
    <w:p>
      <w:pPr>
        <w:pStyle w:val="56"/>
        <w:ind w:firstLine="420"/>
      </w:pPr>
      <w:r>
        <w:rPr>
          <w:rFonts w:hint="eastAsia"/>
        </w:rPr>
        <w:t>按照中华人民共和国药典（2020年版 一部）方法进行检验。</w:t>
      </w:r>
    </w:p>
    <w:p>
      <w:pPr>
        <w:pStyle w:val="105"/>
        <w:spacing w:before="156" w:after="156"/>
        <w:rPr>
          <w:rFonts w:hAnsi="宋体"/>
        </w:rPr>
      </w:pPr>
      <w:r>
        <w:rPr>
          <w:rFonts w:hint="eastAsia" w:hAnsi="宋体"/>
        </w:rPr>
        <w:t>灰分</w:t>
      </w:r>
    </w:p>
    <w:p>
      <w:pPr>
        <w:pStyle w:val="56"/>
        <w:ind w:firstLine="420"/>
      </w:pPr>
      <w:r>
        <w:rPr>
          <w:rFonts w:hint="eastAsia"/>
        </w:rPr>
        <w:t>按照中华人民共和国药典（2020年版 四部）通则2</w:t>
      </w:r>
      <w:r>
        <w:t>302</w:t>
      </w:r>
      <w:r>
        <w:rPr>
          <w:rFonts w:hint="eastAsia"/>
        </w:rPr>
        <w:t>方法进行检验。</w:t>
      </w:r>
    </w:p>
    <w:p>
      <w:pPr>
        <w:pStyle w:val="104"/>
        <w:spacing w:before="312" w:after="312"/>
      </w:pPr>
      <w:r>
        <w:rPr>
          <w:rFonts w:hint="eastAsia"/>
        </w:rPr>
        <w:t>储藏与运输</w:t>
      </w:r>
    </w:p>
    <w:p>
      <w:pPr>
        <w:pStyle w:val="162"/>
      </w:pPr>
      <w:r>
        <w:rPr>
          <w:rFonts w:hint="eastAsia"/>
        </w:rPr>
        <w:t>包装后的干燥高良姜应存放在阴凉、干燥、通风的仓库内，不应与有毒、有害的物品或其他杂物混存，堆放时要离开地面10cm以上，离四周墙壁20cm以上，要注意防虫、防潮。</w:t>
      </w:r>
    </w:p>
    <w:p>
      <w:pPr>
        <w:pStyle w:val="162"/>
      </w:pPr>
      <w:r>
        <w:rPr>
          <w:rFonts w:hint="eastAsia"/>
        </w:rPr>
        <w:t>不同类别、批次、规格的干燥高良姜应分别堆垛，垛与垛之间应有1m以上的通道。</w:t>
      </w:r>
    </w:p>
    <w:p>
      <w:pPr>
        <w:pStyle w:val="162"/>
      </w:pPr>
      <w:r>
        <w:rPr>
          <w:rFonts w:hint="eastAsia"/>
        </w:rPr>
        <w:t>运输车辆应保持清洁，不应与有毒、有污染、有异味的物品混装；运输时防止强烈挤压、暴晒、雨淋；装卸时轻搬、轻放。</w:t>
      </w:r>
    </w:p>
    <w:bookmarkEnd w:id="22"/>
    <w:p>
      <w:pPr>
        <w:pStyle w:val="56"/>
        <w:ind w:firstLine="0" w:firstLineChars="0"/>
        <w:jc w:val="center"/>
      </w:pPr>
      <w:bookmarkStart w:id="44"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stretch>
                      <a:fillRect/>
                    </a:stretch>
                  </pic:blipFill>
                  <pic:spPr>
                    <a:xfrm>
                      <a:off x="0" y="0"/>
                      <a:ext cx="1485900" cy="317500"/>
                    </a:xfrm>
                    <a:prstGeom prst="rect">
                      <a:avLst/>
                    </a:prstGeom>
                  </pic:spPr>
                </pic:pic>
              </a:graphicData>
            </a:graphic>
          </wp:inline>
        </w:drawing>
      </w:r>
      <w:bookmarkEnd w:id="44"/>
    </w:p>
    <w:sectPr>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lYjViYjcxMmNkOWQ0YmNmY2I1MjVmMGVjNDczZDMifQ=="/>
  </w:docVars>
  <w:rsids>
    <w:rsidRoot w:val="00F67CF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B43"/>
    <w:rsid w:val="00067B0E"/>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AC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DC5"/>
    <w:rsid w:val="000D0A9C"/>
    <w:rsid w:val="000D1795"/>
    <w:rsid w:val="000D329A"/>
    <w:rsid w:val="000D4B9C"/>
    <w:rsid w:val="000D4EB6"/>
    <w:rsid w:val="000D60E9"/>
    <w:rsid w:val="000D753B"/>
    <w:rsid w:val="000E4C9E"/>
    <w:rsid w:val="000E6FD7"/>
    <w:rsid w:val="000F06E1"/>
    <w:rsid w:val="000F0E3C"/>
    <w:rsid w:val="000F19D5"/>
    <w:rsid w:val="000F3044"/>
    <w:rsid w:val="000F4AEA"/>
    <w:rsid w:val="000F633F"/>
    <w:rsid w:val="000F67E9"/>
    <w:rsid w:val="00104926"/>
    <w:rsid w:val="00111520"/>
    <w:rsid w:val="00113B1E"/>
    <w:rsid w:val="0011475C"/>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2A76"/>
    <w:rsid w:val="001642FA"/>
    <w:rsid w:val="001649EB"/>
    <w:rsid w:val="00164BAF"/>
    <w:rsid w:val="00164FA8"/>
    <w:rsid w:val="00165065"/>
    <w:rsid w:val="00165434"/>
    <w:rsid w:val="0016580B"/>
    <w:rsid w:val="00165F49"/>
    <w:rsid w:val="0016686B"/>
    <w:rsid w:val="00166B88"/>
    <w:rsid w:val="0016770A"/>
    <w:rsid w:val="00170804"/>
    <w:rsid w:val="001708E9"/>
    <w:rsid w:val="0017240D"/>
    <w:rsid w:val="0017340B"/>
    <w:rsid w:val="00173FB1"/>
    <w:rsid w:val="00176DFD"/>
    <w:rsid w:val="001852C9"/>
    <w:rsid w:val="00190087"/>
    <w:rsid w:val="001913C4"/>
    <w:rsid w:val="0019348F"/>
    <w:rsid w:val="00193A07"/>
    <w:rsid w:val="00194C95"/>
    <w:rsid w:val="00195C34"/>
    <w:rsid w:val="00196EF5"/>
    <w:rsid w:val="001A1A53"/>
    <w:rsid w:val="001A234A"/>
    <w:rsid w:val="001A3944"/>
    <w:rsid w:val="001A4CF3"/>
    <w:rsid w:val="001B06E8"/>
    <w:rsid w:val="001B71D0"/>
    <w:rsid w:val="001B71EE"/>
    <w:rsid w:val="001C04A8"/>
    <w:rsid w:val="001C2C03"/>
    <w:rsid w:val="001C42F7"/>
    <w:rsid w:val="001C49E5"/>
    <w:rsid w:val="001C680C"/>
    <w:rsid w:val="001C6B03"/>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52D"/>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1FC"/>
    <w:rsid w:val="002204BB"/>
    <w:rsid w:val="00221630"/>
    <w:rsid w:val="00221B79"/>
    <w:rsid w:val="00221C6B"/>
    <w:rsid w:val="002253A1"/>
    <w:rsid w:val="00225520"/>
    <w:rsid w:val="00225CF8"/>
    <w:rsid w:val="0022794E"/>
    <w:rsid w:val="00233D64"/>
    <w:rsid w:val="0023482A"/>
    <w:rsid w:val="002359CB"/>
    <w:rsid w:val="00242220"/>
    <w:rsid w:val="002422D9"/>
    <w:rsid w:val="00243540"/>
    <w:rsid w:val="0024497B"/>
    <w:rsid w:val="0024515B"/>
    <w:rsid w:val="00246021"/>
    <w:rsid w:val="0024666E"/>
    <w:rsid w:val="002467F4"/>
    <w:rsid w:val="00247F52"/>
    <w:rsid w:val="00250B25"/>
    <w:rsid w:val="00250BBE"/>
    <w:rsid w:val="002515C2"/>
    <w:rsid w:val="0025194F"/>
    <w:rsid w:val="00253E09"/>
    <w:rsid w:val="0026148A"/>
    <w:rsid w:val="00262696"/>
    <w:rsid w:val="00263D25"/>
    <w:rsid w:val="002643C3"/>
    <w:rsid w:val="00264A0C"/>
    <w:rsid w:val="00265BC8"/>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13C"/>
    <w:rsid w:val="002B0C40"/>
    <w:rsid w:val="002B1966"/>
    <w:rsid w:val="002B4508"/>
    <w:rsid w:val="002B4AFF"/>
    <w:rsid w:val="002B5779"/>
    <w:rsid w:val="002B7332"/>
    <w:rsid w:val="002B7F51"/>
    <w:rsid w:val="002C09E7"/>
    <w:rsid w:val="002C1E06"/>
    <w:rsid w:val="002C1E1C"/>
    <w:rsid w:val="002C3F07"/>
    <w:rsid w:val="002C5278"/>
    <w:rsid w:val="002C7EBB"/>
    <w:rsid w:val="002D06C1"/>
    <w:rsid w:val="002D0877"/>
    <w:rsid w:val="002D42B5"/>
    <w:rsid w:val="002D4F1A"/>
    <w:rsid w:val="002D6EC6"/>
    <w:rsid w:val="002D79AC"/>
    <w:rsid w:val="002E039D"/>
    <w:rsid w:val="002E4D5A"/>
    <w:rsid w:val="002E6326"/>
    <w:rsid w:val="002F241A"/>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37E54"/>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ED6"/>
    <w:rsid w:val="00376713"/>
    <w:rsid w:val="00381815"/>
    <w:rsid w:val="003819AF"/>
    <w:rsid w:val="003820E9"/>
    <w:rsid w:val="00382DE7"/>
    <w:rsid w:val="00384FFC"/>
    <w:rsid w:val="003872FC"/>
    <w:rsid w:val="00387ADC"/>
    <w:rsid w:val="00390020"/>
    <w:rsid w:val="003903D6"/>
    <w:rsid w:val="00390EE6"/>
    <w:rsid w:val="0039118F"/>
    <w:rsid w:val="00391E80"/>
    <w:rsid w:val="00392AD7"/>
    <w:rsid w:val="003938D9"/>
    <w:rsid w:val="00394376"/>
    <w:rsid w:val="003943FF"/>
    <w:rsid w:val="00395700"/>
    <w:rsid w:val="003974EB"/>
    <w:rsid w:val="00397CC5"/>
    <w:rsid w:val="003A1582"/>
    <w:rsid w:val="003A2509"/>
    <w:rsid w:val="003A4077"/>
    <w:rsid w:val="003A76F4"/>
    <w:rsid w:val="003B09AD"/>
    <w:rsid w:val="003B1F18"/>
    <w:rsid w:val="003B2423"/>
    <w:rsid w:val="003B5BF0"/>
    <w:rsid w:val="003B60BF"/>
    <w:rsid w:val="003B6BE3"/>
    <w:rsid w:val="003C010C"/>
    <w:rsid w:val="003C0A6C"/>
    <w:rsid w:val="003C14F8"/>
    <w:rsid w:val="003C5A43"/>
    <w:rsid w:val="003C7B0D"/>
    <w:rsid w:val="003D0519"/>
    <w:rsid w:val="003D0FF6"/>
    <w:rsid w:val="003D262C"/>
    <w:rsid w:val="003D6D61"/>
    <w:rsid w:val="003E091D"/>
    <w:rsid w:val="003E1C53"/>
    <w:rsid w:val="003E2A69"/>
    <w:rsid w:val="003E2D49"/>
    <w:rsid w:val="003E2FD4"/>
    <w:rsid w:val="003E33A4"/>
    <w:rsid w:val="003E49F6"/>
    <w:rsid w:val="003E660F"/>
    <w:rsid w:val="003F0841"/>
    <w:rsid w:val="003F23D3"/>
    <w:rsid w:val="003F3F08"/>
    <w:rsid w:val="003F49F1"/>
    <w:rsid w:val="003F6272"/>
    <w:rsid w:val="00400E72"/>
    <w:rsid w:val="00401400"/>
    <w:rsid w:val="0040176B"/>
    <w:rsid w:val="00404869"/>
    <w:rsid w:val="00405884"/>
    <w:rsid w:val="00407D39"/>
    <w:rsid w:val="0041477A"/>
    <w:rsid w:val="004167A3"/>
    <w:rsid w:val="00432DAA"/>
    <w:rsid w:val="00434305"/>
    <w:rsid w:val="00435DF7"/>
    <w:rsid w:val="0044083F"/>
    <w:rsid w:val="00441AE7"/>
    <w:rsid w:val="00445574"/>
    <w:rsid w:val="00445F15"/>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E47"/>
    <w:rsid w:val="004A12DF"/>
    <w:rsid w:val="004A17E6"/>
    <w:rsid w:val="004A1BA8"/>
    <w:rsid w:val="004A4B57"/>
    <w:rsid w:val="004A63FA"/>
    <w:rsid w:val="004B0272"/>
    <w:rsid w:val="004B2701"/>
    <w:rsid w:val="004B2E1B"/>
    <w:rsid w:val="004B3AA8"/>
    <w:rsid w:val="004B3E93"/>
    <w:rsid w:val="004C1FBC"/>
    <w:rsid w:val="004C35DF"/>
    <w:rsid w:val="004C3F1D"/>
    <w:rsid w:val="004C458D"/>
    <w:rsid w:val="004C7556"/>
    <w:rsid w:val="004C7E8B"/>
    <w:rsid w:val="004C7E9D"/>
    <w:rsid w:val="004C7F67"/>
    <w:rsid w:val="004D076D"/>
    <w:rsid w:val="004D0EF1"/>
    <w:rsid w:val="004D1B0A"/>
    <w:rsid w:val="004D2253"/>
    <w:rsid w:val="004D4406"/>
    <w:rsid w:val="004D4761"/>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DA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5FAE"/>
    <w:rsid w:val="00586630"/>
    <w:rsid w:val="005873A6"/>
    <w:rsid w:val="00587ADD"/>
    <w:rsid w:val="005944E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2DFA"/>
    <w:rsid w:val="005C5F21"/>
    <w:rsid w:val="005C7156"/>
    <w:rsid w:val="005D0C75"/>
    <w:rsid w:val="005D4171"/>
    <w:rsid w:val="005D6A95"/>
    <w:rsid w:val="005D6B2C"/>
    <w:rsid w:val="005D6D9C"/>
    <w:rsid w:val="005E2335"/>
    <w:rsid w:val="005E34CA"/>
    <w:rsid w:val="005E3C18"/>
    <w:rsid w:val="005E6812"/>
    <w:rsid w:val="005E6B07"/>
    <w:rsid w:val="005E7881"/>
    <w:rsid w:val="005E78E0"/>
    <w:rsid w:val="005F0D9C"/>
    <w:rsid w:val="005F284E"/>
    <w:rsid w:val="005F4712"/>
    <w:rsid w:val="005F74C3"/>
    <w:rsid w:val="006015CE"/>
    <w:rsid w:val="00604784"/>
    <w:rsid w:val="00606419"/>
    <w:rsid w:val="006078C6"/>
    <w:rsid w:val="00607D29"/>
    <w:rsid w:val="00612952"/>
    <w:rsid w:val="00614CC1"/>
    <w:rsid w:val="00615A9D"/>
    <w:rsid w:val="00617387"/>
    <w:rsid w:val="006205D6"/>
    <w:rsid w:val="00621CF0"/>
    <w:rsid w:val="006252D8"/>
    <w:rsid w:val="006255BE"/>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77C87"/>
    <w:rsid w:val="0068026D"/>
    <w:rsid w:val="00680A27"/>
    <w:rsid w:val="006816A4"/>
    <w:rsid w:val="006819B8"/>
    <w:rsid w:val="006840A6"/>
    <w:rsid w:val="006850CD"/>
    <w:rsid w:val="00685AAB"/>
    <w:rsid w:val="00690B4C"/>
    <w:rsid w:val="006A07AA"/>
    <w:rsid w:val="006A25E5"/>
    <w:rsid w:val="006A2B46"/>
    <w:rsid w:val="006A336D"/>
    <w:rsid w:val="006A37B9"/>
    <w:rsid w:val="006B172F"/>
    <w:rsid w:val="006B2672"/>
    <w:rsid w:val="006B2C9C"/>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4D67"/>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3E5"/>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5590"/>
    <w:rsid w:val="007F0ED8"/>
    <w:rsid w:val="007F0F63"/>
    <w:rsid w:val="007F75CE"/>
    <w:rsid w:val="008013A4"/>
    <w:rsid w:val="008027CE"/>
    <w:rsid w:val="00802F42"/>
    <w:rsid w:val="00804383"/>
    <w:rsid w:val="00804B99"/>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0F9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A85"/>
    <w:rsid w:val="008B7E05"/>
    <w:rsid w:val="008C1797"/>
    <w:rsid w:val="008C219C"/>
    <w:rsid w:val="008C46B5"/>
    <w:rsid w:val="008C475E"/>
    <w:rsid w:val="008C619A"/>
    <w:rsid w:val="008D0CE8"/>
    <w:rsid w:val="008D12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10D"/>
    <w:rsid w:val="009421D1"/>
    <w:rsid w:val="009424A5"/>
    <w:rsid w:val="009429D5"/>
    <w:rsid w:val="00942BF1"/>
    <w:rsid w:val="00945180"/>
    <w:rsid w:val="00945428"/>
    <w:rsid w:val="0094607B"/>
    <w:rsid w:val="00953604"/>
    <w:rsid w:val="0095496B"/>
    <w:rsid w:val="00955D33"/>
    <w:rsid w:val="009610DC"/>
    <w:rsid w:val="00961490"/>
    <w:rsid w:val="0096381A"/>
    <w:rsid w:val="00965E04"/>
    <w:rsid w:val="009674AD"/>
    <w:rsid w:val="00970CDC"/>
    <w:rsid w:val="00977010"/>
    <w:rsid w:val="00977D02"/>
    <w:rsid w:val="009809BB"/>
    <w:rsid w:val="0098364B"/>
    <w:rsid w:val="0098452A"/>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8E3"/>
    <w:rsid w:val="009A72AD"/>
    <w:rsid w:val="009B09E0"/>
    <w:rsid w:val="009B0BC5"/>
    <w:rsid w:val="009B1247"/>
    <w:rsid w:val="009B15CE"/>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6B96"/>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2E03"/>
    <w:rsid w:val="00AD4126"/>
    <w:rsid w:val="00AD421C"/>
    <w:rsid w:val="00AD44FA"/>
    <w:rsid w:val="00AE070A"/>
    <w:rsid w:val="00AE101C"/>
    <w:rsid w:val="00AE37E5"/>
    <w:rsid w:val="00AE5EB4"/>
    <w:rsid w:val="00AF0C18"/>
    <w:rsid w:val="00AF47C5"/>
    <w:rsid w:val="00AF5398"/>
    <w:rsid w:val="00AF5A80"/>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BD1"/>
    <w:rsid w:val="00B440F4"/>
    <w:rsid w:val="00B447A5"/>
    <w:rsid w:val="00B4654C"/>
    <w:rsid w:val="00B47293"/>
    <w:rsid w:val="00B50E50"/>
    <w:rsid w:val="00B52120"/>
    <w:rsid w:val="00B534A0"/>
    <w:rsid w:val="00B54ABC"/>
    <w:rsid w:val="00B54DDE"/>
    <w:rsid w:val="00B56FBE"/>
    <w:rsid w:val="00B60900"/>
    <w:rsid w:val="00B60ACF"/>
    <w:rsid w:val="00B62B58"/>
    <w:rsid w:val="00B65149"/>
    <w:rsid w:val="00B66434"/>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3DD3"/>
    <w:rsid w:val="00BF51E5"/>
    <w:rsid w:val="00BF74A6"/>
    <w:rsid w:val="00C013AD"/>
    <w:rsid w:val="00C02004"/>
    <w:rsid w:val="00C04904"/>
    <w:rsid w:val="00C056B3"/>
    <w:rsid w:val="00C103E5"/>
    <w:rsid w:val="00C13319"/>
    <w:rsid w:val="00C13EE9"/>
    <w:rsid w:val="00C13FEF"/>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1D2"/>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BD0"/>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0AF3"/>
    <w:rsid w:val="00D218ED"/>
    <w:rsid w:val="00D21E81"/>
    <w:rsid w:val="00D223DE"/>
    <w:rsid w:val="00D25E37"/>
    <w:rsid w:val="00D2661A"/>
    <w:rsid w:val="00D27582"/>
    <w:rsid w:val="00D27EC4"/>
    <w:rsid w:val="00D32719"/>
    <w:rsid w:val="00D33333"/>
    <w:rsid w:val="00D33457"/>
    <w:rsid w:val="00D352A2"/>
    <w:rsid w:val="00D4162B"/>
    <w:rsid w:val="00D4514F"/>
    <w:rsid w:val="00D451E2"/>
    <w:rsid w:val="00D45711"/>
    <w:rsid w:val="00D45E89"/>
    <w:rsid w:val="00D45E8D"/>
    <w:rsid w:val="00D466AE"/>
    <w:rsid w:val="00D4734F"/>
    <w:rsid w:val="00D51BF3"/>
    <w:rsid w:val="00D552EE"/>
    <w:rsid w:val="00D66846"/>
    <w:rsid w:val="00D675FB"/>
    <w:rsid w:val="00D71F25"/>
    <w:rsid w:val="00D72A9C"/>
    <w:rsid w:val="00D77031"/>
    <w:rsid w:val="00D84941"/>
    <w:rsid w:val="00D84FA1"/>
    <w:rsid w:val="00D851F0"/>
    <w:rsid w:val="00D86DB7"/>
    <w:rsid w:val="00D926D0"/>
    <w:rsid w:val="00D93030"/>
    <w:rsid w:val="00D950E1"/>
    <w:rsid w:val="00D952A6"/>
    <w:rsid w:val="00D95F8A"/>
    <w:rsid w:val="00D97F99"/>
    <w:rsid w:val="00DA1E08"/>
    <w:rsid w:val="00DA24F8"/>
    <w:rsid w:val="00DA28E8"/>
    <w:rsid w:val="00DA388A"/>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6E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797"/>
    <w:rsid w:val="00ED2B50"/>
    <w:rsid w:val="00EE0350"/>
    <w:rsid w:val="00EE0719"/>
    <w:rsid w:val="00EE0E80"/>
    <w:rsid w:val="00EE54A6"/>
    <w:rsid w:val="00EE613F"/>
    <w:rsid w:val="00EE7295"/>
    <w:rsid w:val="00EE7869"/>
    <w:rsid w:val="00EF054A"/>
    <w:rsid w:val="00EF3235"/>
    <w:rsid w:val="00EF6D8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6239"/>
    <w:rsid w:val="00F420D5"/>
    <w:rsid w:val="00F451EA"/>
    <w:rsid w:val="00F45447"/>
    <w:rsid w:val="00F456C6"/>
    <w:rsid w:val="00F4577B"/>
    <w:rsid w:val="00F46496"/>
    <w:rsid w:val="00F474D0"/>
    <w:rsid w:val="00F50179"/>
    <w:rsid w:val="00F515EE"/>
    <w:rsid w:val="00F5374C"/>
    <w:rsid w:val="00F56511"/>
    <w:rsid w:val="00F6194E"/>
    <w:rsid w:val="00F623AC"/>
    <w:rsid w:val="00F6412A"/>
    <w:rsid w:val="00F65893"/>
    <w:rsid w:val="00F66A4A"/>
    <w:rsid w:val="00F67CF4"/>
    <w:rsid w:val="00F715D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96A"/>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1E3DD5"/>
    <w:rsid w:val="069C0F6D"/>
    <w:rsid w:val="2FD37E1C"/>
    <w:rsid w:val="30D31113"/>
    <w:rsid w:val="41D4603F"/>
    <w:rsid w:val="523E73BD"/>
    <w:rsid w:val="58F115BE"/>
    <w:rsid w:val="5CA2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uiPriority w:val="9"/>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1">
    <w:name w:val="段 Char"/>
    <w:basedOn w:val="28"/>
    <w:link w:val="230"/>
    <w:qFormat/>
    <w:uiPriority w:val="0"/>
    <w:rPr>
      <w:rFonts w:ascii="宋体" w:hAnsi="Times New Roman"/>
      <w:sz w:val="21"/>
    </w:rPr>
  </w:style>
  <w:style w:type="table" w:customStyle="1" w:styleId="232">
    <w:name w:val="网格型1"/>
    <w:basedOn w:val="26"/>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60330EDA754A8EBF8A08132B9F8B7B"/>
        <w:style w:val=""/>
        <w:category>
          <w:name w:val="常规"/>
          <w:gallery w:val="placeholder"/>
        </w:category>
        <w:types>
          <w:type w:val="bbPlcHdr"/>
        </w:types>
        <w:behaviors>
          <w:behavior w:val="content"/>
        </w:behaviors>
        <w:description w:val=""/>
        <w:guid w:val="{91EA3740-FF50-4D35-A264-AF7E3ED2715E}"/>
      </w:docPartPr>
      <w:docPartBody>
        <w:p>
          <w:pPr>
            <w:pStyle w:val="5"/>
          </w:pPr>
          <w:r>
            <w:rPr>
              <w:rStyle w:val="4"/>
              <w:rFonts w:hint="eastAsia"/>
            </w:rPr>
            <w:t>单击或点击此处输入文字。</w:t>
          </w:r>
        </w:p>
      </w:docPartBody>
    </w:docPart>
    <w:docPart>
      <w:docPartPr>
        <w:name w:val="6E46595E4A654EBCBB5B87A6976FA9A8"/>
        <w:style w:val=""/>
        <w:category>
          <w:name w:val="常规"/>
          <w:gallery w:val="placeholder"/>
        </w:category>
        <w:types>
          <w:type w:val="bbPlcHdr"/>
        </w:types>
        <w:behaviors>
          <w:behavior w:val="content"/>
        </w:behaviors>
        <w:description w:val=""/>
        <w:guid w:val="{583FCDFF-0B32-41F0-AB14-0652E25DEFC2}"/>
      </w:docPartPr>
      <w:docPartBody>
        <w:p>
          <w:pPr>
            <w:pStyle w:val="6"/>
          </w:pPr>
          <w:r>
            <w:rPr>
              <w:rStyle w:val="4"/>
              <w:rFonts w:hint="eastAsia"/>
            </w:rPr>
            <w:t>选择一项。</w:t>
          </w:r>
        </w:p>
      </w:docPartBody>
    </w:docPart>
    <w:docPart>
      <w:docPartPr>
        <w:name w:val="31BF41EF699242759135E72D74F1B478"/>
        <w:style w:val=""/>
        <w:category>
          <w:name w:val="常规"/>
          <w:gallery w:val="placeholder"/>
        </w:category>
        <w:types>
          <w:type w:val="bbPlcHdr"/>
        </w:types>
        <w:behaviors>
          <w:behavior w:val="content"/>
        </w:behaviors>
        <w:description w:val=""/>
        <w:guid w:val="{002E5E22-9825-4BFB-8AFE-D999CA3BFFA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F6"/>
    <w:rsid w:val="00105A46"/>
    <w:rsid w:val="00147780"/>
    <w:rsid w:val="00377170"/>
    <w:rsid w:val="004869F6"/>
    <w:rsid w:val="006202E2"/>
    <w:rsid w:val="00782A6F"/>
    <w:rsid w:val="007E472B"/>
    <w:rsid w:val="008B14E9"/>
    <w:rsid w:val="00A23DD5"/>
    <w:rsid w:val="00AB35E1"/>
    <w:rsid w:val="00B70CD7"/>
    <w:rsid w:val="00CE51FF"/>
    <w:rsid w:val="00DF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D560330EDA754A8EBF8A08132B9F8B7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E46595E4A654EBCBB5B87A6976FA9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1BF41EF699242759135E72D74F1B47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71070-A293-4FFC-8036-203222BF271C}">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5</Pages>
  <Words>427</Words>
  <Characters>2437</Characters>
  <Lines>20</Lines>
  <Paragraphs>5</Paragraphs>
  <TotalTime>4607</TotalTime>
  <ScaleCrop>false</ScaleCrop>
  <LinksUpToDate>false</LinksUpToDate>
  <CharactersWithSpaces>2859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2023-10-08T09:11:00Z</dcterms:created>
  <dc:creator>peony</dc:creator>
  <cp:lastModifiedBy>Fanny</cp:lastModifiedBy>
  <cp:lastPrinted>2021-05-10T05:19:00Z</cp:lastPrinted>
  <dcterms:modified xsi:type="dcterms:W3CDTF">2023-11-01T02:04:14Z</dcterms:modified>
  <dc:title>地方标准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D7B4797043CF4BBB9D94A581FFC9CD83_12</vt:lpwstr>
  </property>
</Properties>
</file>