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23F5A">
      <w:pPr>
        <w:spacing w:line="820" w:lineRule="exact"/>
        <w:jc w:val="center"/>
        <w:rPr>
          <w:rFonts w:hint="eastAsia" w:eastAsia="方正小标宋简体"/>
          <w:sz w:val="72"/>
          <w:szCs w:val="72"/>
          <w:lang w:val="en-US" w:eastAsia="zh-CN"/>
        </w:rPr>
      </w:pPr>
    </w:p>
    <w:p w14:paraId="7AADF356">
      <w:pPr>
        <w:spacing w:line="820" w:lineRule="exact"/>
        <w:jc w:val="center"/>
        <w:rPr>
          <w:rFonts w:eastAsia="方正小标宋简体"/>
          <w:sz w:val="72"/>
          <w:szCs w:val="72"/>
        </w:rPr>
      </w:pPr>
      <w:r>
        <w:rPr>
          <w:rFonts w:hint="eastAsia" w:eastAsia="方正小标宋简体"/>
          <w:sz w:val="72"/>
          <w:szCs w:val="72"/>
          <w:lang w:val="en-US" w:eastAsia="zh-CN"/>
        </w:rPr>
        <w:t>广东省地方</w:t>
      </w:r>
      <w:r>
        <w:rPr>
          <w:rFonts w:eastAsia="方正小标宋简体"/>
          <w:sz w:val="72"/>
          <w:szCs w:val="72"/>
        </w:rPr>
        <w:t>标准</w:t>
      </w:r>
    </w:p>
    <w:p w14:paraId="69DF7311">
      <w:pPr>
        <w:spacing w:line="820" w:lineRule="exact"/>
        <w:jc w:val="center"/>
        <w:rPr>
          <w:rFonts w:eastAsia="方正小标宋简体"/>
          <w:sz w:val="52"/>
          <w:szCs w:val="52"/>
        </w:rPr>
      </w:pPr>
      <w:r>
        <w:rPr>
          <w:rFonts w:hint="eastAsia" w:eastAsia="方正小标宋简体"/>
          <w:sz w:val="52"/>
          <w:szCs w:val="52"/>
          <w:lang w:val="en-US" w:eastAsia="zh-CN"/>
        </w:rPr>
        <w:t>DB44</w:t>
      </w:r>
      <w:r>
        <w:rPr>
          <w:rFonts w:hint="eastAsia" w:eastAsia="方正小标宋简体"/>
          <w:sz w:val="52"/>
          <w:szCs w:val="52"/>
        </w:rPr>
        <w:t>/T</w:t>
      </w:r>
      <w:r>
        <w:rPr>
          <w:rFonts w:eastAsia="方正小标宋简体"/>
          <w:sz w:val="52"/>
          <w:szCs w:val="52"/>
        </w:rPr>
        <w:t>《</w:t>
      </w:r>
      <w:r>
        <w:rPr>
          <w:rFonts w:hint="eastAsia" w:eastAsia="方正小标宋简体"/>
          <w:sz w:val="52"/>
          <w:szCs w:val="52"/>
          <w:lang w:val="en-US" w:eastAsia="zh-CN"/>
        </w:rPr>
        <w:t>餐厨垃圾饲喂黑水虻技术规程</w:t>
      </w:r>
      <w:r>
        <w:rPr>
          <w:rFonts w:eastAsia="方正小标宋简体"/>
          <w:sz w:val="52"/>
          <w:szCs w:val="52"/>
        </w:rPr>
        <w:t>》</w:t>
      </w:r>
    </w:p>
    <w:p w14:paraId="0D7C2ABE">
      <w:pPr>
        <w:spacing w:line="820" w:lineRule="exact"/>
        <w:jc w:val="center"/>
        <w:rPr>
          <w:rFonts w:eastAsia="黑体"/>
          <w:sz w:val="48"/>
          <w:szCs w:val="48"/>
        </w:rPr>
      </w:pPr>
    </w:p>
    <w:p w14:paraId="092C2C13">
      <w:pPr>
        <w:spacing w:line="820" w:lineRule="exact"/>
        <w:jc w:val="center"/>
        <w:rPr>
          <w:rFonts w:eastAsia="黑体"/>
          <w:sz w:val="48"/>
          <w:szCs w:val="48"/>
        </w:rPr>
      </w:pPr>
      <w:r>
        <w:rPr>
          <w:rFonts w:eastAsia="黑体"/>
          <w:sz w:val="48"/>
          <w:szCs w:val="48"/>
        </w:rPr>
        <w:t>（</w:t>
      </w:r>
      <w:r>
        <w:rPr>
          <w:rFonts w:hint="eastAsia" w:eastAsia="黑体"/>
          <w:sz w:val="48"/>
          <w:szCs w:val="48"/>
          <w:lang w:val="en-US" w:eastAsia="zh-CN"/>
        </w:rPr>
        <w:t>征求意见</w:t>
      </w:r>
      <w:r>
        <w:rPr>
          <w:rFonts w:hint="eastAsia" w:eastAsia="黑体"/>
          <w:sz w:val="48"/>
          <w:szCs w:val="48"/>
        </w:rPr>
        <w:t>稿</w:t>
      </w:r>
      <w:r>
        <w:rPr>
          <w:rFonts w:eastAsia="黑体"/>
          <w:sz w:val="48"/>
          <w:szCs w:val="48"/>
        </w:rPr>
        <w:t>）</w:t>
      </w:r>
    </w:p>
    <w:p w14:paraId="60170080">
      <w:pPr>
        <w:spacing w:line="820" w:lineRule="exact"/>
        <w:jc w:val="center"/>
        <w:rPr>
          <w:rFonts w:eastAsia="黑体"/>
          <w:sz w:val="48"/>
          <w:szCs w:val="48"/>
        </w:rPr>
      </w:pPr>
    </w:p>
    <w:p w14:paraId="213FF532">
      <w:pPr>
        <w:spacing w:line="820" w:lineRule="exact"/>
        <w:jc w:val="center"/>
        <w:rPr>
          <w:rFonts w:eastAsia="黑体"/>
          <w:sz w:val="72"/>
          <w:szCs w:val="72"/>
        </w:rPr>
      </w:pPr>
      <w:r>
        <w:rPr>
          <w:rFonts w:eastAsia="黑体"/>
          <w:sz w:val="72"/>
          <w:szCs w:val="72"/>
        </w:rPr>
        <w:t>编</w:t>
      </w:r>
    </w:p>
    <w:p w14:paraId="40B4E6F4">
      <w:pPr>
        <w:spacing w:line="820" w:lineRule="exact"/>
        <w:jc w:val="center"/>
        <w:rPr>
          <w:rFonts w:eastAsia="黑体"/>
          <w:sz w:val="72"/>
          <w:szCs w:val="72"/>
        </w:rPr>
      </w:pPr>
      <w:r>
        <w:rPr>
          <w:rFonts w:eastAsia="黑体"/>
          <w:sz w:val="72"/>
          <w:szCs w:val="72"/>
        </w:rPr>
        <w:t>制</w:t>
      </w:r>
    </w:p>
    <w:p w14:paraId="4FD9B289">
      <w:pPr>
        <w:spacing w:line="820" w:lineRule="exact"/>
        <w:jc w:val="center"/>
        <w:rPr>
          <w:rFonts w:eastAsia="黑体"/>
          <w:sz w:val="72"/>
          <w:szCs w:val="72"/>
        </w:rPr>
      </w:pPr>
      <w:r>
        <w:rPr>
          <w:rFonts w:eastAsia="黑体"/>
          <w:sz w:val="72"/>
          <w:szCs w:val="72"/>
        </w:rPr>
        <w:t>说</w:t>
      </w:r>
    </w:p>
    <w:p w14:paraId="2CF908C5">
      <w:pPr>
        <w:spacing w:line="820" w:lineRule="exact"/>
        <w:jc w:val="center"/>
        <w:rPr>
          <w:rFonts w:eastAsia="黑体"/>
          <w:sz w:val="52"/>
          <w:szCs w:val="52"/>
        </w:rPr>
      </w:pPr>
      <w:r>
        <w:rPr>
          <w:rFonts w:eastAsia="黑体"/>
          <w:sz w:val="72"/>
          <w:szCs w:val="72"/>
        </w:rPr>
        <w:t>明</w:t>
      </w:r>
    </w:p>
    <w:p w14:paraId="52350F12">
      <w:pPr>
        <w:spacing w:line="820" w:lineRule="exact"/>
        <w:jc w:val="center"/>
        <w:rPr>
          <w:rFonts w:eastAsia="黑体"/>
          <w:sz w:val="52"/>
          <w:szCs w:val="52"/>
        </w:rPr>
      </w:pPr>
    </w:p>
    <w:p w14:paraId="5A3C2E06">
      <w:pPr>
        <w:spacing w:line="820" w:lineRule="exact"/>
        <w:jc w:val="center"/>
        <w:rPr>
          <w:rFonts w:eastAsia="黑体"/>
          <w:sz w:val="52"/>
          <w:szCs w:val="52"/>
        </w:rPr>
      </w:pPr>
    </w:p>
    <w:p w14:paraId="6DC0B38D">
      <w:pPr>
        <w:adjustRightInd w:val="0"/>
        <w:snapToGrid w:val="0"/>
        <w:jc w:val="center"/>
        <w:rPr>
          <w:rFonts w:hint="eastAsia" w:eastAsia="黑体"/>
          <w:sz w:val="36"/>
          <w:szCs w:val="36"/>
          <w:lang w:val="en-US" w:eastAsia="zh-CN"/>
        </w:rPr>
      </w:pPr>
      <w:r>
        <w:rPr>
          <w:rFonts w:hint="eastAsia" w:eastAsia="黑体"/>
          <w:sz w:val="36"/>
          <w:szCs w:val="36"/>
          <w:lang w:val="en-US" w:eastAsia="zh-CN"/>
        </w:rPr>
        <w:t>中国热带农业科学院农产品加工研究所</w:t>
      </w:r>
    </w:p>
    <w:p w14:paraId="09B4367A">
      <w:pPr>
        <w:adjustRightInd w:val="0"/>
        <w:snapToGrid w:val="0"/>
        <w:jc w:val="center"/>
        <w:rPr>
          <w:rFonts w:cs="Arial"/>
          <w:b/>
          <w:bCs/>
          <w:color w:val="FF0000"/>
          <w:sz w:val="24"/>
        </w:rPr>
      </w:pPr>
      <w:r>
        <w:rPr>
          <w:rFonts w:eastAsia="黑体"/>
          <w:sz w:val="36"/>
          <w:szCs w:val="36"/>
        </w:rPr>
        <w:t>20</w:t>
      </w:r>
      <w:r>
        <w:rPr>
          <w:rFonts w:hint="eastAsia" w:eastAsia="黑体"/>
          <w:sz w:val="36"/>
          <w:szCs w:val="36"/>
          <w:lang w:val="en-US" w:eastAsia="zh-CN"/>
        </w:rPr>
        <w:t>24</w:t>
      </w:r>
      <w:r>
        <w:rPr>
          <w:rFonts w:eastAsia="黑体"/>
          <w:sz w:val="36"/>
          <w:szCs w:val="36"/>
        </w:rPr>
        <w:t>年</w:t>
      </w:r>
      <w:r>
        <w:rPr>
          <w:rFonts w:hint="eastAsia" w:eastAsia="黑体"/>
          <w:sz w:val="36"/>
          <w:szCs w:val="36"/>
          <w:lang w:val="en-US" w:eastAsia="zh-CN"/>
        </w:rPr>
        <w:t>10</w:t>
      </w:r>
      <w:r>
        <w:rPr>
          <w:rFonts w:eastAsia="黑体"/>
          <w:sz w:val="36"/>
          <w:szCs w:val="36"/>
        </w:rPr>
        <w:t>月</w:t>
      </w:r>
      <w:r>
        <w:rPr>
          <w:rFonts w:cs="Arial"/>
          <w:sz w:val="24"/>
        </w:rPr>
        <w:br w:type="page"/>
      </w:r>
    </w:p>
    <w:p w14:paraId="4A327587">
      <w:pPr>
        <w:spacing w:line="560" w:lineRule="exact"/>
        <w:ind w:firstLine="640" w:firstLineChars="200"/>
        <w:rPr>
          <w:rFonts w:cs="Arial"/>
          <w:b/>
          <w:bCs/>
          <w:color w:val="FF0000"/>
          <w:sz w:val="24"/>
        </w:rPr>
      </w:pPr>
      <w:bookmarkStart w:id="0" w:name="OLE_LINK12"/>
      <w:r>
        <w:rPr>
          <w:rFonts w:eastAsia="黑体"/>
          <w:bCs/>
          <w:kern w:val="44"/>
          <w:sz w:val="32"/>
        </w:rPr>
        <w:t>一、</w:t>
      </w:r>
      <w:r>
        <w:rPr>
          <w:rFonts w:hint="eastAsia" w:eastAsia="黑体"/>
          <w:bCs/>
          <w:kern w:val="44"/>
          <w:sz w:val="32"/>
        </w:rPr>
        <w:t>工作简况</w:t>
      </w:r>
    </w:p>
    <w:bookmarkEnd w:id="0"/>
    <w:p w14:paraId="0155EDD9">
      <w:pPr>
        <w:spacing w:line="560" w:lineRule="exact"/>
        <w:ind w:firstLine="643" w:firstLineChars="200"/>
        <w:rPr>
          <w:rFonts w:hint="eastAsia" w:ascii="Times New Roman" w:hAnsi="Times New Roman" w:eastAsia="楷体_GB2312" w:cs="Times New Roman"/>
          <w:b/>
          <w:bCs/>
          <w:sz w:val="32"/>
          <w:lang w:val="en-US" w:eastAsia="zh-CN"/>
        </w:rPr>
      </w:pPr>
      <w:r>
        <w:rPr>
          <w:rFonts w:hint="eastAsia" w:ascii="Times New Roman" w:hAnsi="Times New Roman" w:eastAsia="楷体_GB2312" w:cs="Times New Roman"/>
          <w:b/>
          <w:bCs/>
          <w:sz w:val="32"/>
          <w:lang w:val="en-US" w:eastAsia="zh-CN"/>
        </w:rPr>
        <w:t>（一）任务来源</w:t>
      </w:r>
    </w:p>
    <w:p w14:paraId="5B1F47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本标准由广东省市场监督管理局提出并归口。批准文号为“粤市监标准［2024］348号”《广东省市场监督管理局关于批准下达推动大规模设备更新和消费品以旧换新相关地方标准制修订计划（第四批）的通知》，标准名称“餐厨垃圾饲喂黑水虻技术规程”，计划于2025年12月底完成标准的制订工作。</w:t>
      </w:r>
    </w:p>
    <w:p w14:paraId="248B83C3">
      <w:pPr>
        <w:spacing w:line="560" w:lineRule="exact"/>
        <w:ind w:firstLine="643" w:firstLineChars="200"/>
        <w:rPr>
          <w:rFonts w:hint="eastAsia" w:ascii="Times New Roman" w:hAnsi="Times New Roman" w:eastAsia="楷体_GB2312" w:cs="Times New Roman"/>
          <w:b/>
          <w:bCs/>
          <w:sz w:val="32"/>
          <w:lang w:val="en-US" w:eastAsia="zh-CN"/>
        </w:rPr>
      </w:pPr>
      <w:r>
        <w:rPr>
          <w:rFonts w:hint="eastAsia" w:ascii="Times New Roman" w:hAnsi="Times New Roman" w:eastAsia="楷体_GB2312" w:cs="Times New Roman"/>
          <w:b/>
          <w:bCs/>
          <w:sz w:val="32"/>
          <w:lang w:val="en-US" w:eastAsia="zh-CN"/>
        </w:rPr>
        <w:t>（二）起草单位</w:t>
      </w:r>
    </w:p>
    <w:p w14:paraId="655B15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楷体_GB2312"/>
          <w:b/>
          <w:bCs/>
          <w:sz w:val="32"/>
        </w:rPr>
      </w:pPr>
      <w:r>
        <w:rPr>
          <w:rFonts w:hint="eastAsia" w:ascii="Times New Roman" w:hAnsi="Times New Roman" w:eastAsia="方正仿宋_GB2312" w:cs="方正仿宋_GB2312"/>
          <w:sz w:val="32"/>
          <w:szCs w:val="32"/>
          <w:lang w:val="en-US" w:eastAsia="zh-CN"/>
        </w:rPr>
        <w:t>本标准由</w:t>
      </w:r>
      <w:r>
        <w:rPr>
          <w:rFonts w:hint="default" w:ascii="Times New Roman" w:hAnsi="Times New Roman" w:eastAsia="方正仿宋_GB2312" w:cs="方正仿宋_GB2312"/>
          <w:sz w:val="32"/>
          <w:szCs w:val="32"/>
          <w:lang w:val="en-US" w:eastAsia="zh-CN"/>
        </w:rPr>
        <w:t>中国热带农业科学院农产品加工研究所、广东多芝源科技有限公司、湛江市科博生物科技有限公司</w:t>
      </w:r>
      <w:r>
        <w:rPr>
          <w:rFonts w:hint="eastAsia" w:ascii="Times New Roman" w:hAnsi="Times New Roman" w:eastAsia="方正仿宋_GB2312" w:cs="方正仿宋_GB2312"/>
          <w:sz w:val="32"/>
          <w:szCs w:val="32"/>
          <w:lang w:val="en-US" w:eastAsia="zh-CN"/>
        </w:rPr>
        <w:t>负责编制。</w:t>
      </w:r>
    </w:p>
    <w:p w14:paraId="599944BC">
      <w:pPr>
        <w:spacing w:line="560" w:lineRule="exact"/>
        <w:ind w:firstLine="643" w:firstLineChars="200"/>
        <w:rPr>
          <w:rFonts w:eastAsia="楷体_GB2312"/>
          <w:b/>
          <w:bCs/>
          <w:sz w:val="32"/>
        </w:rPr>
      </w:pPr>
      <w:r>
        <w:rPr>
          <w:rFonts w:eastAsia="楷体_GB2312"/>
          <w:b/>
          <w:bCs/>
          <w:sz w:val="32"/>
        </w:rPr>
        <w:t>（</w:t>
      </w:r>
      <w:r>
        <w:rPr>
          <w:rFonts w:hint="eastAsia" w:eastAsia="楷体_GB2312"/>
          <w:b/>
          <w:bCs/>
          <w:sz w:val="32"/>
          <w:lang w:val="en-US" w:eastAsia="zh-CN"/>
        </w:rPr>
        <w:t>三</w:t>
      </w:r>
      <w:r>
        <w:rPr>
          <w:rFonts w:eastAsia="楷体_GB2312"/>
          <w:b/>
          <w:bCs/>
          <w:sz w:val="32"/>
        </w:rPr>
        <w:t>）</w:t>
      </w:r>
      <w:r>
        <w:rPr>
          <w:rFonts w:hint="eastAsia" w:eastAsia="楷体_GB2312"/>
          <w:b/>
          <w:bCs/>
          <w:sz w:val="32"/>
        </w:rPr>
        <w:t>制定背景</w:t>
      </w:r>
    </w:p>
    <w:p w14:paraId="6B01B1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lang w:val="en-US" w:eastAsia="zh-CN"/>
        </w:rPr>
        <w:t>餐厨垃圾是指易腐烂的、含有机质的生活垃圾，主要来源为家庭厨房、餐厅、饭店、食堂、市场及其他与食品加工有关的行业。</w:t>
      </w:r>
      <w:r>
        <w:rPr>
          <w:rFonts w:hint="eastAsia" w:ascii="Times New Roman" w:hAnsi="Times New Roman" w:eastAsia="方正仿宋_GB2312" w:cs="方正仿宋_GB2312"/>
          <w:sz w:val="32"/>
          <w:szCs w:val="32"/>
        </w:rPr>
        <w:t>城镇有机废弃物不仅是公共环境卫生的重大污染源，也是威胁居民身体健康的发生源头和传播途径。</w:t>
      </w:r>
      <w:r>
        <w:rPr>
          <w:rFonts w:hint="eastAsia" w:ascii="Times New Roman" w:hAnsi="Times New Roman" w:eastAsia="方正仿宋_GB2312" w:cs="方正仿宋_GB2312"/>
          <w:sz w:val="32"/>
          <w:szCs w:val="32"/>
          <w:lang w:val="en-US" w:eastAsia="zh-CN"/>
        </w:rPr>
        <w:t>在国家大力推行“垃圾分类”政策的背景下，分类后产生的城镇餐厨垃圾处置保障政策顺利实施的重要环节，也是国家推进“无废城市”建设的重要内容。</w:t>
      </w:r>
      <w:r>
        <w:rPr>
          <w:rFonts w:hint="eastAsia" w:ascii="Times New Roman" w:hAnsi="Times New Roman" w:eastAsia="方正仿宋_GB2312" w:cs="方正仿宋_GB2312"/>
          <w:sz w:val="32"/>
          <w:szCs w:val="32"/>
        </w:rPr>
        <w:t>据了解，整个广东省餐厨垃圾消纳渠道，主要被周边家禽养殖场直接作为饲料使用或者集中收集焚烧处理，腐烂变质垃圾则采用填埋方式进行降解处理。由于国家明令禁止厨余垃圾作为生猪养殖饲料，而家禽消纳总量稍显不足，饲料方向并不是垃圾处理绿色可持续发展方向。而垃圾焚烧及填埋处理方式易造成温室气体及其他污染物排放，不符合“碳达峰、碳中和”发展要求，而且对环境造成二次污染，亟需建立低碳、安全、绿色处理新模式。而畜禽粪便主要采取堆肥还田消纳方式，污染面较大、资源化利用不高。相比于传统处理方式，黑水虻生物转化技术处理农业有机废弃物具有转化周期短、转化率高、占地面积小、安全性高、无二次污染等优点，是一种可复制、可推广的绿色处理模式。作为资源型食腐昆虫，黑水虻利用其幼虫生物特性可将有机垃圾转化为营养物质，应用于饲料、肥料、日化等行业，从而实现“变废为宝”。</w:t>
      </w:r>
    </w:p>
    <w:p w14:paraId="4FFAB4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rPr>
        <w:t>黑水虻，学名亮斑扁角水虻（</w:t>
      </w:r>
      <w:r>
        <w:rPr>
          <w:rFonts w:hint="eastAsia" w:ascii="Times New Roman" w:hAnsi="Times New Roman" w:eastAsia="方正仿宋_GB2312" w:cs="方正仿宋_GB2312"/>
          <w:i/>
          <w:iCs/>
          <w:sz w:val="32"/>
          <w:szCs w:val="32"/>
        </w:rPr>
        <w:t>Hermetia illucens L.</w:t>
      </w:r>
      <w:r>
        <w:rPr>
          <w:rFonts w:hint="eastAsia" w:ascii="Times New Roman" w:hAnsi="Times New Roman" w:eastAsia="方正仿宋_GB2312" w:cs="方正仿宋_GB2312"/>
          <w:sz w:val="32"/>
          <w:szCs w:val="32"/>
        </w:rPr>
        <w:t>），属昆虫纲、双翅目、短角亚目、水虻科、扁角水虻属。近年来黑水虻产业在我国广东、海南等热带地区发展迅猛，具有繁殖速度快、养殖成本低、无毒无污染等特点，被广泛应用于医学、厨余垃圾和畜禽粪便的无害化处理、动物性蛋白饲料生产、医用抗菌肽提取等多方领域</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lang w:val="en-US" w:eastAsia="zh-CN"/>
        </w:rPr>
        <w:t>随着采用黑水虻等资源昆虫处理城镇餐厨垃圾日益得到重视，完善相关技术体系对餐厨垃圾减量化、无害化和高值化处理具有重要意义。</w:t>
      </w:r>
    </w:p>
    <w:p w14:paraId="1AA4FF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hint="eastAsia" w:ascii="Times New Roman" w:hAnsi="Times New Roman" w:eastAsia="方正仿宋_GB2312" w:cs="方正仿宋_GB2312"/>
          <w:sz w:val="32"/>
          <w:szCs w:val="32"/>
        </w:rPr>
        <w:t>据调研检索，尚未搜集到有关</w:t>
      </w:r>
      <w:r>
        <w:rPr>
          <w:rFonts w:hint="eastAsia" w:ascii="Times New Roman" w:hAnsi="Times New Roman" w:eastAsia="方正仿宋_GB2312" w:cs="方正仿宋_GB2312"/>
          <w:sz w:val="32"/>
          <w:szCs w:val="32"/>
          <w:lang w:val="en-US" w:eastAsia="zh-CN"/>
        </w:rPr>
        <w:t>餐厨垃圾饲喂黑水虻技术规程</w:t>
      </w:r>
      <w:r>
        <w:rPr>
          <w:rFonts w:hint="eastAsia" w:ascii="Times New Roman" w:hAnsi="Times New Roman" w:eastAsia="方正仿宋_GB2312" w:cs="方正仿宋_GB2312"/>
          <w:sz w:val="32"/>
          <w:szCs w:val="32"/>
        </w:rPr>
        <w:t>的国际</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国内标准。</w:t>
      </w:r>
      <w:r>
        <w:rPr>
          <w:rFonts w:hint="eastAsia" w:ascii="Times New Roman" w:hAnsi="Times New Roman" w:eastAsia="方正仿宋_GB2312" w:cs="方正仿宋_GB2312"/>
          <w:sz w:val="32"/>
          <w:szCs w:val="32"/>
          <w:lang w:val="en-US" w:eastAsia="zh-CN"/>
        </w:rPr>
        <w:t>国内关于城镇餐厨垃圾饲喂黑水虻技术工艺规范尚不完善，黑水虻等资源昆虫的养殖和蛋白提取等技术仍缺乏标准依据，成为影响转化效率的关键制约因素。目前</w:t>
      </w:r>
      <w:r>
        <w:rPr>
          <w:rFonts w:hint="eastAsia" w:ascii="Times New Roman" w:hAnsi="Times New Roman" w:eastAsia="方正仿宋_GB2312" w:cs="方正仿宋_GB2312"/>
          <w:sz w:val="32"/>
          <w:szCs w:val="32"/>
        </w:rPr>
        <w:t>仅有</w:t>
      </w:r>
      <w:r>
        <w:rPr>
          <w:rFonts w:hint="eastAsia" w:ascii="Times New Roman" w:hAnsi="Times New Roman" w:eastAsia="方正仿宋_GB2312" w:cs="方正仿宋_GB2312"/>
          <w:sz w:val="32"/>
          <w:szCs w:val="32"/>
          <w:lang w:val="en-US" w:eastAsia="zh-CN"/>
        </w:rPr>
        <w:t>2</w:t>
      </w:r>
      <w:r>
        <w:rPr>
          <w:rFonts w:hint="eastAsia" w:ascii="Times New Roman" w:hAnsi="Times New Roman" w:eastAsia="方正仿宋_GB2312" w:cs="方正仿宋_GB2312"/>
          <w:sz w:val="32"/>
          <w:szCs w:val="32"/>
        </w:rPr>
        <w:t>项，</w:t>
      </w:r>
      <w:r>
        <w:rPr>
          <w:rFonts w:hint="eastAsia" w:ascii="Times New Roman" w:hAnsi="Times New Roman" w:eastAsia="方正仿宋_GB2312" w:cs="方正仿宋_GB2312"/>
          <w:sz w:val="32"/>
          <w:szCs w:val="32"/>
          <w:lang w:val="en-US" w:eastAsia="zh-CN"/>
        </w:rPr>
        <w:t>分别</w:t>
      </w:r>
      <w:r>
        <w:rPr>
          <w:rFonts w:hint="eastAsia" w:ascii="Times New Roman" w:hAnsi="Times New Roman" w:eastAsia="方正仿宋_GB2312" w:cs="方正仿宋_GB2312"/>
          <w:sz w:val="32"/>
          <w:szCs w:val="32"/>
        </w:rPr>
        <w:t>是20</w:t>
      </w:r>
      <w:r>
        <w:rPr>
          <w:rFonts w:hint="eastAsia" w:ascii="Times New Roman" w:hAnsi="Times New Roman" w:eastAsia="方正仿宋_GB2312" w:cs="方正仿宋_GB2312"/>
          <w:sz w:val="32"/>
          <w:szCs w:val="32"/>
          <w:lang w:val="en-US" w:eastAsia="zh-CN"/>
        </w:rPr>
        <w:t>22</w:t>
      </w:r>
      <w:r>
        <w:rPr>
          <w:rFonts w:hint="eastAsia" w:ascii="Times New Roman" w:hAnsi="Times New Roman" w:eastAsia="方正仿宋_GB2312" w:cs="方正仿宋_GB2312"/>
          <w:sz w:val="32"/>
          <w:szCs w:val="32"/>
        </w:rPr>
        <w:t>年发布的</w:t>
      </w:r>
      <w:r>
        <w:rPr>
          <w:rFonts w:hint="eastAsia" w:ascii="Times New Roman" w:hAnsi="Times New Roman" w:eastAsia="方正仿宋_GB2312" w:cs="方正仿宋_GB2312"/>
          <w:sz w:val="32"/>
          <w:szCs w:val="32"/>
          <w:lang w:val="en-US" w:eastAsia="zh-CN"/>
        </w:rPr>
        <w:t>广东省团体标准</w:t>
      </w:r>
      <w:r>
        <w:rPr>
          <w:rFonts w:hint="eastAsia" w:ascii="Times New Roman" w:hAnsi="Times New Roman" w:eastAsia="方正仿宋_GB2312" w:cs="方正仿宋_GB2312"/>
          <w:sz w:val="32"/>
          <w:szCs w:val="32"/>
        </w:rPr>
        <w:t>《</w:t>
      </w:r>
      <w:r>
        <w:rPr>
          <w:rFonts w:hint="eastAsia" w:ascii="Times New Roman" w:hAnsi="Times New Roman" w:eastAsia="方正仿宋_GB2312" w:cs="方正仿宋_GB2312"/>
          <w:sz w:val="32"/>
          <w:szCs w:val="32"/>
          <w:lang w:val="en-US" w:eastAsia="zh-CN"/>
        </w:rPr>
        <w:t>厨余垃圾生产黑水虻饲料技术规程</w:t>
      </w:r>
      <w:r>
        <w:rPr>
          <w:rFonts w:hint="eastAsia" w:ascii="Times New Roman" w:hAnsi="Times New Roman" w:eastAsia="方正仿宋_GB2312" w:cs="方正仿宋_GB2312"/>
          <w:sz w:val="32"/>
          <w:szCs w:val="32"/>
        </w:rPr>
        <w:t>》（</w:t>
      </w:r>
      <w:r>
        <w:rPr>
          <w:rFonts w:hint="eastAsia" w:ascii="Times New Roman" w:hAnsi="Times New Roman" w:eastAsia="方正仿宋_GB2312" w:cs="方正仿宋_GB2312"/>
          <w:sz w:val="32"/>
          <w:szCs w:val="32"/>
          <w:lang w:val="en-US" w:eastAsia="zh-CN"/>
        </w:rPr>
        <w:t>T/GDBX048-2022</w:t>
      </w:r>
      <w:r>
        <w:rPr>
          <w:rFonts w:hint="eastAsia" w:ascii="Times New Roman" w:hAnsi="Times New Roman" w:eastAsia="方正仿宋_GB2312" w:cs="方正仿宋_GB2312"/>
          <w:sz w:val="32"/>
          <w:szCs w:val="32"/>
        </w:rPr>
        <w:t>）</w:t>
      </w:r>
      <w:r>
        <w:rPr>
          <w:rFonts w:hint="eastAsia" w:ascii="Times New Roman" w:hAnsi="Times New Roman" w:eastAsia="方正仿宋_GB2312" w:cs="方正仿宋_GB2312"/>
          <w:sz w:val="32"/>
          <w:szCs w:val="32"/>
          <w:lang w:val="en-US" w:eastAsia="zh-CN"/>
        </w:rPr>
        <w:t>和2022年发布的江西省地方标准《餐厨垃圾集约化养殖黑水虻技术规程》（DB36/T 1694-2022）。</w:t>
      </w:r>
      <w:r>
        <w:rPr>
          <w:rFonts w:hint="eastAsia" w:ascii="Times New Roman" w:hAnsi="Times New Roman" w:eastAsia="方正仿宋_GB2312" w:cs="方正仿宋_GB2312"/>
          <w:sz w:val="32"/>
          <w:szCs w:val="32"/>
        </w:rPr>
        <w:t>黑水虻幼虫作为蛋白饲料的安全性评估还不够全面，有害物质转化机制的研究还不够深入。随着养殖行业中黑水虻幼虫资源化处理畜禽粪便和厨余垃圾的广泛推广，粪便虫、餐厨虫的应用也将被重点关注和探讨。考虑到上述基质虫的安全性以及人们的接受</w:t>
      </w:r>
      <w:r>
        <w:rPr>
          <w:rFonts w:hint="eastAsia" w:ascii="Times New Roman" w:hAnsi="Times New Roman" w:eastAsia="方正仿宋_GB2312" w:cs="方正仿宋_GB2312"/>
          <w:sz w:val="32"/>
          <w:szCs w:val="32"/>
          <w:lang w:val="en-US" w:eastAsia="zh-CN"/>
        </w:rPr>
        <w:t>程</w:t>
      </w:r>
      <w:r>
        <w:rPr>
          <w:rFonts w:hint="eastAsia" w:ascii="Times New Roman" w:hAnsi="Times New Roman" w:eastAsia="方正仿宋_GB2312" w:cs="方正仿宋_GB2312"/>
          <w:sz w:val="32"/>
          <w:szCs w:val="32"/>
        </w:rPr>
        <w:t>度，短期内黑水虻幼虫可能尚且无法应用在畜禽饲料中，所以必须建立系统的标准规范体系，尤其是补齐黑水虻规模化养殖、产品</w:t>
      </w:r>
      <w:r>
        <w:rPr>
          <w:rFonts w:hint="eastAsia" w:ascii="Times New Roman" w:hAnsi="Times New Roman" w:eastAsia="方正仿宋_GB2312" w:cs="方正仿宋_GB2312"/>
          <w:sz w:val="32"/>
          <w:szCs w:val="32"/>
          <w:lang w:val="en-US" w:eastAsia="zh-CN"/>
        </w:rPr>
        <w:t>加工</w:t>
      </w:r>
      <w:r>
        <w:rPr>
          <w:rFonts w:hint="eastAsia" w:ascii="Times New Roman" w:hAnsi="Times New Roman" w:eastAsia="方正仿宋_GB2312" w:cs="方正仿宋_GB2312"/>
          <w:sz w:val="32"/>
          <w:szCs w:val="32"/>
        </w:rPr>
        <w:t>等标准的短板。</w:t>
      </w:r>
    </w:p>
    <w:p w14:paraId="6D07655D">
      <w:pPr>
        <w:spacing w:line="560" w:lineRule="exact"/>
        <w:ind w:firstLine="643" w:firstLineChars="200"/>
        <w:rPr>
          <w:rFonts w:eastAsia="楷体_GB2312"/>
          <w:b/>
          <w:bCs/>
          <w:sz w:val="32"/>
        </w:rPr>
      </w:pPr>
      <w:r>
        <w:rPr>
          <w:rFonts w:eastAsia="楷体_GB2312"/>
          <w:b/>
          <w:bCs/>
          <w:sz w:val="32"/>
        </w:rPr>
        <w:t>（二）起草单位</w:t>
      </w:r>
      <w:r>
        <w:rPr>
          <w:rFonts w:hint="eastAsia" w:eastAsia="楷体_GB2312"/>
          <w:b/>
          <w:bCs/>
          <w:sz w:val="32"/>
        </w:rPr>
        <w:t>情况</w:t>
      </w:r>
    </w:p>
    <w:p w14:paraId="4FB2FF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lang w:val="en-US" w:eastAsia="zh-CN"/>
        </w:rPr>
        <w:t>本标准由</w:t>
      </w:r>
      <w:r>
        <w:rPr>
          <w:rFonts w:hint="default" w:ascii="Times New Roman" w:hAnsi="Times New Roman" w:eastAsia="方正仿宋_GB2312" w:cs="方正仿宋_GB2312"/>
          <w:sz w:val="32"/>
          <w:szCs w:val="32"/>
          <w:lang w:val="en-US" w:eastAsia="zh-CN"/>
        </w:rPr>
        <w:t>中国热带农业科学院农产品加工研究所、广东多芝源科技有限公司、湛江市科博生物科技有限公司</w:t>
      </w:r>
      <w:r>
        <w:rPr>
          <w:rFonts w:hint="eastAsia" w:ascii="Times New Roman" w:hAnsi="Times New Roman" w:eastAsia="方正仿宋_GB2312" w:cs="方正仿宋_GB2312"/>
          <w:sz w:val="32"/>
          <w:szCs w:val="32"/>
          <w:lang w:val="en-US" w:eastAsia="zh-CN"/>
        </w:rPr>
        <w:t>负责编制。</w:t>
      </w:r>
    </w:p>
    <w:p w14:paraId="46FE4C0F">
      <w:pPr>
        <w:spacing w:line="560" w:lineRule="exact"/>
        <w:ind w:firstLine="643" w:firstLineChars="200"/>
        <w:rPr>
          <w:rFonts w:eastAsia="楷体_GB2312"/>
          <w:b/>
          <w:bCs/>
          <w:sz w:val="32"/>
        </w:rPr>
      </w:pPr>
      <w:r>
        <w:rPr>
          <w:rFonts w:eastAsia="楷体_GB2312"/>
          <w:b/>
          <w:bCs/>
          <w:sz w:val="32"/>
        </w:rPr>
        <w:t>（三）主要</w:t>
      </w:r>
      <w:r>
        <w:rPr>
          <w:rFonts w:hint="eastAsia" w:eastAsia="楷体_GB2312"/>
          <w:b/>
          <w:bCs/>
          <w:sz w:val="32"/>
        </w:rPr>
        <w:t>起草</w:t>
      </w:r>
      <w:r>
        <w:rPr>
          <w:rFonts w:eastAsia="楷体_GB2312"/>
          <w:b/>
          <w:bCs/>
          <w:sz w:val="32"/>
        </w:rPr>
        <w:t>过程</w:t>
      </w:r>
    </w:p>
    <w:p w14:paraId="0D344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1、接到标准制定任务后，主要起草单位成立了标准起草小组，制定了工作计划。</w:t>
      </w:r>
    </w:p>
    <w:p w14:paraId="482E77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2、标准起草小组查阅了国内外有关文献、杂志和技术资料，并到广东多芝源科技有限公司、海南中锋生物科技有限公司、湖南御雄生物科技有限公司等生产企业对黑水虻处理技术项目选址、养殖管理、饲料生产加工等进行实地调研，详细了解了黑水虻处理有机废弃物整个生物转化过程中的相关技术问题。听取企业和农户的建议与意见，在此工作基础上，编写了此地方标准的征求意见稿。</w:t>
      </w:r>
    </w:p>
    <w:p w14:paraId="768EA8F9">
      <w:pPr>
        <w:spacing w:line="560" w:lineRule="exact"/>
        <w:ind w:firstLine="640" w:firstLineChars="200"/>
        <w:rPr>
          <w:rFonts w:eastAsia="黑体"/>
          <w:bCs/>
          <w:kern w:val="44"/>
          <w:sz w:val="32"/>
        </w:rPr>
      </w:pPr>
      <w:r>
        <w:rPr>
          <w:rFonts w:eastAsia="黑体"/>
          <w:bCs/>
          <w:kern w:val="44"/>
          <w:sz w:val="32"/>
        </w:rPr>
        <w:t>二、标准编制原则和确定标准主要内容的依据</w:t>
      </w:r>
    </w:p>
    <w:p w14:paraId="719DBBCE">
      <w:pPr>
        <w:spacing w:line="560" w:lineRule="exact"/>
        <w:ind w:firstLine="643" w:firstLineChars="200"/>
        <w:rPr>
          <w:rFonts w:hint="eastAsia" w:ascii="方正仿宋_GB2312" w:hAnsi="方正仿宋_GB2312" w:eastAsia="方正仿宋_GB2312" w:cs="方正仿宋_GB2312"/>
          <w:b/>
          <w:bCs/>
          <w:sz w:val="32"/>
        </w:rPr>
      </w:pPr>
      <w:r>
        <w:rPr>
          <w:rFonts w:hint="eastAsia" w:ascii="方正仿宋_GB2312" w:hAnsi="方正仿宋_GB2312" w:eastAsia="方正仿宋_GB2312" w:cs="方正仿宋_GB2312"/>
          <w:b/>
          <w:bCs/>
          <w:sz w:val="32"/>
        </w:rPr>
        <w:t>（一）编制原则</w:t>
      </w:r>
    </w:p>
    <w:p w14:paraId="0BD2C0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2312" w:cs="Arial"/>
          <w:sz w:val="32"/>
        </w:rPr>
      </w:pPr>
      <w:r>
        <w:rPr>
          <w:rFonts w:eastAsia="方正仿宋_GB2312" w:cs="Arial"/>
          <w:sz w:val="32"/>
        </w:rPr>
        <w:t>1.</w:t>
      </w:r>
      <w:r>
        <w:rPr>
          <w:rFonts w:hint="eastAsia" w:eastAsia="方正仿宋_GB2312" w:cs="Arial"/>
          <w:sz w:val="32"/>
        </w:rPr>
        <w:t>标准编制原则</w:t>
      </w:r>
    </w:p>
    <w:p w14:paraId="7805C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2312" w:cs="Arial"/>
          <w:sz w:val="32"/>
        </w:rPr>
      </w:pPr>
      <w:r>
        <w:rPr>
          <w:rFonts w:hint="eastAsia" w:eastAsia="方正仿宋_GB2312" w:cs="Arial"/>
          <w:sz w:val="32"/>
          <w:lang w:val="en-US" w:eastAsia="zh-CN"/>
        </w:rPr>
        <w:t>本文件按照</w:t>
      </w:r>
      <w:r>
        <w:rPr>
          <w:rFonts w:hint="eastAsia" w:eastAsia="方正仿宋_GB2312" w:cs="Arial"/>
          <w:sz w:val="32"/>
        </w:rPr>
        <w:t>GB/T 1</w:t>
      </w:r>
      <w:r>
        <w:rPr>
          <w:rFonts w:eastAsia="方正仿宋_GB2312" w:cs="Arial"/>
          <w:sz w:val="32"/>
        </w:rPr>
        <w:t>.1</w:t>
      </w:r>
      <w:r>
        <w:rPr>
          <w:rFonts w:hint="eastAsia" w:eastAsia="方正仿宋_GB2312" w:cs="Arial"/>
          <w:sz w:val="32"/>
        </w:rPr>
        <w:t>—2</w:t>
      </w:r>
      <w:r>
        <w:rPr>
          <w:rFonts w:hint="eastAsia" w:eastAsia="方正仿宋_GB2312" w:cs="Arial"/>
          <w:sz w:val="32"/>
          <w:lang w:val="en-US" w:eastAsia="zh-CN"/>
        </w:rPr>
        <w:t>020</w:t>
      </w:r>
      <w:r>
        <w:rPr>
          <w:rFonts w:hint="eastAsia" w:eastAsia="方正仿宋_GB2312" w:cs="Arial"/>
          <w:sz w:val="32"/>
        </w:rPr>
        <w:t>《标准化工作导则 第１部分：标准</w:t>
      </w:r>
      <w:r>
        <w:rPr>
          <w:rFonts w:hint="eastAsia" w:eastAsia="方正仿宋_GB2312" w:cs="Arial"/>
          <w:sz w:val="32"/>
          <w:lang w:val="en-US" w:eastAsia="zh-CN"/>
        </w:rPr>
        <w:t>化文件</w:t>
      </w:r>
      <w:r>
        <w:rPr>
          <w:rFonts w:hint="eastAsia" w:eastAsia="方正仿宋_GB2312" w:cs="Arial"/>
          <w:sz w:val="32"/>
        </w:rPr>
        <w:t>的结构和</w:t>
      </w:r>
      <w:r>
        <w:rPr>
          <w:rFonts w:hint="eastAsia" w:eastAsia="方正仿宋_GB2312" w:cs="Arial"/>
          <w:sz w:val="32"/>
          <w:lang w:val="en-US" w:eastAsia="zh-CN"/>
        </w:rPr>
        <w:t>起草</w:t>
      </w:r>
      <w:r>
        <w:rPr>
          <w:rFonts w:hint="eastAsia" w:eastAsia="方正仿宋_GB2312" w:cs="Arial"/>
          <w:sz w:val="32"/>
        </w:rPr>
        <w:t>规则》</w:t>
      </w:r>
      <w:r>
        <w:rPr>
          <w:rFonts w:hint="eastAsia" w:eastAsia="方正仿宋_GB2312" w:cs="Arial"/>
          <w:sz w:val="32"/>
          <w:lang w:val="en-US" w:eastAsia="zh-CN"/>
        </w:rPr>
        <w:t>的规定起草</w:t>
      </w:r>
      <w:r>
        <w:rPr>
          <w:rFonts w:hint="eastAsia" w:eastAsia="方正仿宋_GB2312" w:cs="Arial"/>
          <w:sz w:val="32"/>
        </w:rPr>
        <w:t>。</w:t>
      </w:r>
    </w:p>
    <w:p w14:paraId="0BE46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2312" w:cs="Arial"/>
          <w:sz w:val="32"/>
        </w:rPr>
      </w:pPr>
      <w:r>
        <w:rPr>
          <w:rFonts w:hint="eastAsia" w:eastAsia="方正仿宋_GB2312" w:cs="Arial"/>
          <w:sz w:val="32"/>
        </w:rPr>
        <w:t>2</w:t>
      </w:r>
      <w:r>
        <w:rPr>
          <w:rFonts w:hint="eastAsia" w:eastAsia="方正仿宋_GB2312" w:cs="Arial"/>
          <w:sz w:val="32"/>
          <w:lang w:eastAsia="zh-CN"/>
        </w:rPr>
        <w:t>.</w:t>
      </w:r>
      <w:r>
        <w:rPr>
          <w:rFonts w:hint="eastAsia" w:eastAsia="方正仿宋_GB2312" w:cs="Arial"/>
          <w:sz w:val="32"/>
        </w:rPr>
        <w:t>标准的主要技术内容</w:t>
      </w:r>
    </w:p>
    <w:p w14:paraId="23E6B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2312" w:cs="Arial"/>
          <w:sz w:val="32"/>
        </w:rPr>
      </w:pPr>
      <w:r>
        <w:rPr>
          <w:rFonts w:hint="eastAsia" w:eastAsia="方正仿宋_GB2312" w:cs="Arial"/>
          <w:sz w:val="32"/>
          <w:lang w:eastAsia="zh-CN"/>
        </w:rPr>
        <w:t>（</w:t>
      </w:r>
      <w:r>
        <w:rPr>
          <w:rFonts w:hint="eastAsia" w:eastAsia="方正仿宋_GB2312" w:cs="Arial"/>
          <w:sz w:val="32"/>
          <w:lang w:val="en-US" w:eastAsia="zh-CN"/>
        </w:rPr>
        <w:t>1</w:t>
      </w:r>
      <w:r>
        <w:rPr>
          <w:rFonts w:hint="eastAsia" w:eastAsia="方正仿宋_GB2312" w:cs="Arial"/>
          <w:sz w:val="32"/>
          <w:lang w:eastAsia="zh-CN"/>
        </w:rPr>
        <w:t>）饲养管理，包括饲喂原料预处理、产卵与孵化工艺、黑水虻幼虫养殖、成虫蛹化等</w:t>
      </w:r>
      <w:r>
        <w:rPr>
          <w:rFonts w:hint="eastAsia" w:eastAsia="方正仿宋_GB2312" w:cs="Arial"/>
          <w:sz w:val="32"/>
        </w:rPr>
        <w:t>。</w:t>
      </w:r>
    </w:p>
    <w:p w14:paraId="458705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2312" w:cs="Arial"/>
          <w:sz w:val="32"/>
        </w:rPr>
      </w:pPr>
      <w:r>
        <w:rPr>
          <w:rFonts w:hint="eastAsia" w:eastAsia="方正仿宋_GB2312" w:cs="Arial"/>
          <w:sz w:val="32"/>
          <w:lang w:eastAsia="zh-CN"/>
        </w:rPr>
        <w:t>（</w:t>
      </w:r>
      <w:r>
        <w:rPr>
          <w:rFonts w:hint="eastAsia" w:eastAsia="方正仿宋_GB2312" w:cs="Arial"/>
          <w:sz w:val="32"/>
          <w:lang w:val="en-US" w:eastAsia="zh-CN"/>
        </w:rPr>
        <w:t>2</w:t>
      </w:r>
      <w:r>
        <w:rPr>
          <w:rFonts w:hint="eastAsia" w:eastAsia="方正仿宋_GB2312" w:cs="Arial"/>
          <w:sz w:val="32"/>
          <w:lang w:eastAsia="zh-CN"/>
        </w:rPr>
        <w:t>）虫沙，包括虫沙分离机应用</w:t>
      </w:r>
      <w:r>
        <w:rPr>
          <w:rFonts w:hint="eastAsia" w:eastAsia="方正仿宋_GB2312" w:cs="Arial"/>
          <w:sz w:val="32"/>
        </w:rPr>
        <w:t>。</w:t>
      </w:r>
    </w:p>
    <w:p w14:paraId="766F5B06">
      <w:pPr>
        <w:spacing w:line="560" w:lineRule="exact"/>
        <w:ind w:firstLine="643" w:firstLineChars="200"/>
        <w:rPr>
          <w:rFonts w:hint="eastAsia" w:ascii="方正仿宋_GB2312" w:hAnsi="方正仿宋_GB2312" w:eastAsia="方正仿宋_GB2312" w:cs="方正仿宋_GB2312"/>
          <w:b/>
          <w:bCs/>
          <w:sz w:val="32"/>
        </w:rPr>
      </w:pPr>
      <w:r>
        <w:rPr>
          <w:rFonts w:hint="eastAsia" w:ascii="方正仿宋_GB2312" w:hAnsi="方正仿宋_GB2312" w:eastAsia="方正仿宋_GB2312" w:cs="方正仿宋_GB2312"/>
          <w:b/>
          <w:bCs/>
          <w:sz w:val="32"/>
        </w:rPr>
        <w:t>（二）主要内容及其确定依据</w:t>
      </w:r>
    </w:p>
    <w:p w14:paraId="0EF772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Arial"/>
          <w:sz w:val="32"/>
          <w:lang w:val="en-US" w:eastAsia="zh-CN"/>
        </w:rPr>
      </w:pPr>
      <w:r>
        <w:rPr>
          <w:rFonts w:hint="eastAsia" w:ascii="Times New Roman" w:hAnsi="Times New Roman" w:eastAsia="方正仿宋_GB2312" w:cs="Arial"/>
          <w:sz w:val="32"/>
          <w:lang w:eastAsia="zh-CN"/>
        </w:rPr>
        <w:t>（</w:t>
      </w:r>
      <w:r>
        <w:rPr>
          <w:rFonts w:hint="eastAsia" w:ascii="Times New Roman" w:hAnsi="Times New Roman" w:eastAsia="方正仿宋_GB2312" w:cs="Arial"/>
          <w:sz w:val="32"/>
          <w:lang w:val="en-US" w:eastAsia="zh-CN"/>
        </w:rPr>
        <w:t>1</w:t>
      </w:r>
      <w:r>
        <w:rPr>
          <w:rFonts w:hint="eastAsia" w:ascii="Times New Roman" w:hAnsi="Times New Roman" w:eastAsia="方正仿宋_GB2312" w:cs="Arial"/>
          <w:sz w:val="32"/>
          <w:lang w:eastAsia="zh-CN"/>
        </w:rPr>
        <w:t>）</w:t>
      </w:r>
      <w:r>
        <w:rPr>
          <w:rFonts w:hint="eastAsia" w:ascii="Times New Roman" w:hAnsi="Times New Roman" w:eastAsia="方正仿宋_GB2312" w:cs="Arial"/>
          <w:sz w:val="32"/>
          <w:lang w:val="en-US" w:eastAsia="zh-CN"/>
        </w:rPr>
        <w:t>甘蔗叶粉的预处理工艺</w:t>
      </w:r>
    </w:p>
    <w:p w14:paraId="5AE403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Arial"/>
          <w:sz w:val="32"/>
          <w:lang w:val="en-US" w:eastAsia="zh-CN"/>
        </w:rPr>
      </w:pPr>
      <w:r>
        <w:rPr>
          <w:rFonts w:hint="eastAsia" w:ascii="Times New Roman" w:hAnsi="Times New Roman" w:eastAsia="方正仿宋_GB2312" w:cs="Arial"/>
          <w:sz w:val="32"/>
          <w:lang w:val="en-US" w:eastAsia="zh-CN"/>
        </w:rPr>
        <w:t>甘蔗叶粉碎处理工艺：</w:t>
      </w:r>
      <w:r>
        <w:rPr>
          <w:rFonts w:hint="eastAsia" w:ascii="Times New Roman" w:hAnsi="Times New Roman" w:eastAsia="方正仿宋_GB2312" w:cs="Arial"/>
          <w:sz w:val="32"/>
        </w:rPr>
        <w:t>收集</w:t>
      </w:r>
      <w:r>
        <w:rPr>
          <w:rFonts w:hint="eastAsia" w:ascii="Times New Roman" w:hAnsi="Times New Roman" w:eastAsia="方正仿宋_GB2312" w:cs="Arial"/>
          <w:sz w:val="32"/>
          <w:lang w:eastAsia="zh-CN"/>
        </w:rPr>
        <w:t>—</w:t>
      </w:r>
      <w:r>
        <w:rPr>
          <w:rFonts w:hint="eastAsia" w:ascii="Times New Roman" w:hAnsi="Times New Roman" w:eastAsia="方正仿宋_GB2312" w:cs="Arial"/>
          <w:sz w:val="32"/>
          <w:lang w:val="en-US" w:eastAsia="zh-CN"/>
        </w:rPr>
        <w:t>除杂—</w:t>
      </w:r>
      <w:r>
        <w:rPr>
          <w:rFonts w:hint="eastAsia" w:ascii="Times New Roman" w:hAnsi="Times New Roman" w:eastAsia="方正仿宋_GB2312" w:cs="Arial"/>
          <w:sz w:val="32"/>
        </w:rPr>
        <w:t>粉碎</w:t>
      </w:r>
      <w:r>
        <w:rPr>
          <w:rFonts w:hint="eastAsia" w:ascii="Times New Roman" w:hAnsi="Times New Roman" w:eastAsia="方正仿宋_GB2312" w:cs="Arial"/>
          <w:sz w:val="32"/>
          <w:lang w:eastAsia="zh-CN"/>
        </w:rPr>
        <w:t>—</w:t>
      </w:r>
      <w:r>
        <w:rPr>
          <w:rFonts w:hint="eastAsia" w:ascii="Times New Roman" w:hAnsi="Times New Roman" w:eastAsia="方正仿宋_GB2312" w:cs="Arial"/>
          <w:sz w:val="32"/>
        </w:rPr>
        <w:t>包装</w:t>
      </w:r>
      <w:r>
        <w:rPr>
          <w:rFonts w:hint="eastAsia" w:ascii="Times New Roman" w:hAnsi="Times New Roman" w:eastAsia="方正仿宋_GB2312" w:cs="Arial"/>
          <w:sz w:val="32"/>
          <w:lang w:eastAsia="zh-CN"/>
        </w:rPr>
        <w:t>—</w:t>
      </w:r>
      <w:r>
        <w:rPr>
          <w:rFonts w:hint="eastAsia" w:ascii="Times New Roman" w:hAnsi="Times New Roman" w:eastAsia="方正仿宋_GB2312" w:cs="Arial"/>
          <w:sz w:val="32"/>
          <w:lang w:val="en-US" w:eastAsia="zh-CN"/>
        </w:rPr>
        <w:t>贮存。具体内容如下：</w:t>
      </w:r>
    </w:p>
    <w:p w14:paraId="4D3026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Arial"/>
          <w:sz w:val="32"/>
          <w:lang w:val="en-US" w:eastAsia="zh-CN"/>
        </w:rPr>
      </w:pPr>
      <w:r>
        <w:rPr>
          <w:rFonts w:hint="eastAsia" w:ascii="Times New Roman" w:hAnsi="Times New Roman" w:eastAsia="方正仿宋_GB2312" w:cs="Arial"/>
          <w:sz w:val="32"/>
          <w:lang w:val="en-US" w:eastAsia="zh-CN"/>
        </w:rPr>
        <w:t>1）</w:t>
      </w:r>
      <w:r>
        <w:rPr>
          <w:rFonts w:hint="eastAsia" w:ascii="Times New Roman" w:hAnsi="Times New Roman" w:eastAsia="方正仿宋_GB2312" w:cs="Arial"/>
          <w:sz w:val="32"/>
          <w:lang w:eastAsia="zh-CN"/>
        </w:rPr>
        <w:t>收集：</w:t>
      </w:r>
      <w:r>
        <w:rPr>
          <w:rFonts w:hint="eastAsia" w:ascii="Times New Roman" w:hAnsi="Times New Roman" w:eastAsia="方正仿宋_GB2312" w:cs="Arial"/>
          <w:sz w:val="32"/>
          <w:lang w:val="en-US" w:eastAsia="zh-CN"/>
        </w:rPr>
        <w:t>首先</w:t>
      </w:r>
      <w:r>
        <w:rPr>
          <w:rFonts w:hint="eastAsia" w:ascii="Times New Roman" w:hAnsi="Times New Roman" w:eastAsia="方正仿宋_GB2312" w:cs="Arial"/>
          <w:sz w:val="32"/>
          <w:lang w:eastAsia="zh-CN"/>
        </w:rPr>
        <w:t>甘蔗叶需要被有效地收集起来。这可以通过使用专门的甘蔗叶收集设备完成。</w:t>
      </w:r>
      <w:r>
        <w:rPr>
          <w:rFonts w:hint="eastAsia" w:ascii="Times New Roman" w:hAnsi="Times New Roman" w:eastAsia="方正仿宋_GB2312" w:cs="Arial"/>
          <w:sz w:val="32"/>
          <w:lang w:val="en-US" w:eastAsia="zh-CN"/>
        </w:rPr>
        <w:t>较为常用的有捡拾打捆机和粉碎收集打捆机两种收集模式。甘蔗叶首先在田间适当进行晾晒（根据当地天气情况），或运回企业，进行物理烘干（50℃）24h，含水率要控制在20%以下为宜，便于贮存。</w:t>
      </w:r>
    </w:p>
    <w:p w14:paraId="32BC55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Arial"/>
          <w:sz w:val="32"/>
          <w:lang w:val="en-US" w:eastAsia="zh-CN"/>
        </w:rPr>
      </w:pPr>
      <w:r>
        <w:rPr>
          <w:rFonts w:hint="eastAsia" w:ascii="Times New Roman" w:hAnsi="Times New Roman" w:eastAsia="方正仿宋_GB2312" w:cs="Arial"/>
          <w:sz w:val="32"/>
          <w:lang w:val="en-US" w:eastAsia="zh-CN"/>
        </w:rPr>
        <w:t>2）除杂</w:t>
      </w:r>
      <w:r>
        <w:rPr>
          <w:rFonts w:hint="eastAsia" w:ascii="Times New Roman" w:hAnsi="Times New Roman" w:eastAsia="方正仿宋_GB2312" w:cs="Arial"/>
          <w:sz w:val="32"/>
          <w:lang w:eastAsia="zh-CN"/>
        </w:rPr>
        <w:t>：</w:t>
      </w:r>
      <w:r>
        <w:rPr>
          <w:rFonts w:hint="eastAsia" w:ascii="Times New Roman" w:hAnsi="Times New Roman" w:eastAsia="方正仿宋_GB2312" w:cs="Arial"/>
          <w:sz w:val="32"/>
          <w:lang w:val="en-US" w:eastAsia="zh-CN"/>
        </w:rPr>
        <w:t>如若甘蔗叶原料含石块、泥土较多，可</w:t>
      </w:r>
      <w:r>
        <w:rPr>
          <w:rFonts w:hint="eastAsia" w:ascii="Times New Roman" w:hAnsi="Times New Roman" w:eastAsia="方正仿宋_GB2312" w:cs="Arial"/>
          <w:sz w:val="32"/>
          <w:lang w:eastAsia="zh-CN"/>
        </w:rPr>
        <w:t>经过筛土(石)、除尘等特殊处理，以进一步改善其物理性质，去除杂质，提高</w:t>
      </w:r>
      <w:r>
        <w:rPr>
          <w:rFonts w:hint="eastAsia" w:ascii="Times New Roman" w:hAnsi="Times New Roman" w:eastAsia="方正仿宋_GB2312" w:cs="Arial"/>
          <w:sz w:val="32"/>
          <w:lang w:val="en-US" w:eastAsia="zh-CN"/>
        </w:rPr>
        <w:t>品质</w:t>
      </w:r>
      <w:r>
        <w:rPr>
          <w:rFonts w:hint="eastAsia" w:ascii="Times New Roman" w:hAnsi="Times New Roman" w:eastAsia="方正仿宋_GB2312" w:cs="Arial"/>
          <w:sz w:val="32"/>
          <w:lang w:eastAsia="zh-CN"/>
        </w:rPr>
        <w:t>。</w:t>
      </w:r>
    </w:p>
    <w:p w14:paraId="5109A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Arial"/>
          <w:sz w:val="32"/>
          <w:lang w:eastAsia="zh-CN"/>
        </w:rPr>
      </w:pPr>
      <w:r>
        <w:rPr>
          <w:rFonts w:hint="eastAsia" w:ascii="Times New Roman" w:hAnsi="Times New Roman" w:eastAsia="方正仿宋_GB2312" w:cs="Arial"/>
          <w:sz w:val="32"/>
          <w:lang w:val="en-US" w:eastAsia="zh-CN"/>
        </w:rPr>
        <w:t>3）</w:t>
      </w:r>
      <w:r>
        <w:rPr>
          <w:rFonts w:hint="eastAsia" w:ascii="Times New Roman" w:hAnsi="Times New Roman" w:eastAsia="方正仿宋_GB2312" w:cs="Arial"/>
          <w:sz w:val="32"/>
          <w:lang w:eastAsia="zh-CN"/>
        </w:rPr>
        <w:t>粉碎：</w:t>
      </w:r>
      <w:r>
        <w:rPr>
          <w:rFonts w:hint="eastAsia" w:ascii="Times New Roman" w:hAnsi="Times New Roman" w:eastAsia="方正仿宋_GB2312" w:cs="Arial"/>
          <w:sz w:val="32"/>
          <w:lang w:val="en-US" w:eastAsia="zh-CN"/>
        </w:rPr>
        <w:t>将</w:t>
      </w:r>
      <w:r>
        <w:rPr>
          <w:rFonts w:hint="eastAsia" w:ascii="Times New Roman" w:hAnsi="Times New Roman" w:eastAsia="方正仿宋_GB2312" w:cs="Arial"/>
          <w:sz w:val="32"/>
          <w:lang w:eastAsia="zh-CN"/>
        </w:rPr>
        <w:t>收集到的甘蔗叶</w:t>
      </w:r>
      <w:r>
        <w:rPr>
          <w:rFonts w:hint="eastAsia" w:ascii="Times New Roman" w:hAnsi="Times New Roman" w:eastAsia="方正仿宋_GB2312" w:cs="Arial"/>
          <w:sz w:val="32"/>
          <w:lang w:val="en-US" w:eastAsia="zh-CN"/>
        </w:rPr>
        <w:t>需要进行精细化粉碎加工，可选用适宜秸秆粉碎的锤击式粉碎机进行加工，选择适宜孔径的筛网控制粉碎后蔗叶长度应到达2cm~3cm为宜</w:t>
      </w:r>
      <w:r>
        <w:rPr>
          <w:rFonts w:hint="eastAsia" w:ascii="Times New Roman" w:hAnsi="Times New Roman" w:eastAsia="方正仿宋_GB2312" w:cs="Arial"/>
          <w:sz w:val="32"/>
          <w:lang w:eastAsia="zh-CN"/>
        </w:rPr>
        <w:t>，目的是</w:t>
      </w:r>
      <w:r>
        <w:rPr>
          <w:rFonts w:hint="eastAsia" w:ascii="Times New Roman" w:hAnsi="Times New Roman" w:eastAsia="方正仿宋_GB2312" w:cs="Arial"/>
          <w:sz w:val="32"/>
          <w:lang w:val="en-US" w:eastAsia="zh-CN"/>
        </w:rPr>
        <w:t>便于</w:t>
      </w:r>
      <w:r>
        <w:rPr>
          <w:rFonts w:hint="eastAsia" w:ascii="Times New Roman" w:hAnsi="Times New Roman" w:eastAsia="方正仿宋_GB2312" w:cs="Arial"/>
          <w:sz w:val="32"/>
          <w:lang w:eastAsia="zh-CN"/>
        </w:rPr>
        <w:t>后续</w:t>
      </w:r>
      <w:r>
        <w:rPr>
          <w:rFonts w:hint="eastAsia" w:ascii="Times New Roman" w:hAnsi="Times New Roman" w:eastAsia="方正仿宋_GB2312" w:cs="Arial"/>
          <w:sz w:val="32"/>
          <w:lang w:val="en-US" w:eastAsia="zh-CN"/>
        </w:rPr>
        <w:t>甘蔗叶与餐厨垃圾</w:t>
      </w:r>
      <w:r>
        <w:rPr>
          <w:rFonts w:hint="eastAsia" w:ascii="Times New Roman" w:hAnsi="Times New Roman" w:eastAsia="方正仿宋_GB2312" w:cs="Arial"/>
          <w:sz w:val="32"/>
          <w:lang w:eastAsia="zh-CN"/>
        </w:rPr>
        <w:t>的</w:t>
      </w:r>
      <w:r>
        <w:rPr>
          <w:rFonts w:hint="eastAsia" w:ascii="Times New Roman" w:hAnsi="Times New Roman" w:eastAsia="方正仿宋_GB2312" w:cs="Arial"/>
          <w:sz w:val="32"/>
          <w:lang w:val="en-US" w:eastAsia="zh-CN"/>
        </w:rPr>
        <w:t>复配及黑水虻更好的饲用</w:t>
      </w:r>
      <w:r>
        <w:rPr>
          <w:rFonts w:hint="eastAsia" w:ascii="Times New Roman" w:hAnsi="Times New Roman" w:eastAsia="方正仿宋_GB2312" w:cs="Arial"/>
          <w:sz w:val="32"/>
          <w:lang w:eastAsia="zh-CN"/>
        </w:rPr>
        <w:t>。</w:t>
      </w:r>
    </w:p>
    <w:p w14:paraId="70208D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Arial"/>
          <w:sz w:val="32"/>
          <w:lang w:eastAsia="zh-CN"/>
        </w:rPr>
      </w:pPr>
      <w:r>
        <w:rPr>
          <w:rFonts w:hint="eastAsia" w:ascii="Times New Roman" w:hAnsi="Times New Roman" w:eastAsia="方正仿宋_GB2312" w:cs="Arial"/>
          <w:sz w:val="32"/>
          <w:lang w:val="en-US" w:eastAsia="zh-CN"/>
        </w:rPr>
        <w:t>4）</w:t>
      </w:r>
      <w:r>
        <w:rPr>
          <w:rFonts w:hint="eastAsia" w:ascii="Times New Roman" w:hAnsi="Times New Roman" w:eastAsia="方正仿宋_GB2312" w:cs="Arial"/>
          <w:sz w:val="32"/>
          <w:lang w:eastAsia="zh-CN"/>
        </w:rPr>
        <w:t>包装：</w:t>
      </w:r>
      <w:r>
        <w:rPr>
          <w:rFonts w:hint="eastAsia" w:ascii="Times New Roman" w:hAnsi="Times New Roman" w:eastAsia="方正仿宋_GB2312" w:cs="Arial"/>
          <w:sz w:val="32"/>
          <w:lang w:val="en-US" w:eastAsia="zh-CN"/>
        </w:rPr>
        <w:t>因甘蔗叶收获具有很强的季节性，需注意在榨季储存足够的量保障全年使用需求，粉碎</w:t>
      </w:r>
      <w:r>
        <w:rPr>
          <w:rFonts w:hint="eastAsia" w:ascii="Times New Roman" w:hAnsi="Times New Roman" w:eastAsia="方正仿宋_GB2312" w:cs="Arial"/>
          <w:sz w:val="32"/>
          <w:lang w:eastAsia="zh-CN"/>
        </w:rPr>
        <w:t>后的甘蔗叶</w:t>
      </w:r>
      <w:r>
        <w:rPr>
          <w:rFonts w:hint="eastAsia" w:ascii="Times New Roman" w:hAnsi="Times New Roman" w:eastAsia="方正仿宋_GB2312" w:cs="Arial"/>
          <w:sz w:val="32"/>
          <w:lang w:val="en-US" w:eastAsia="zh-CN"/>
        </w:rPr>
        <w:t>应及时进行</w:t>
      </w:r>
      <w:r>
        <w:rPr>
          <w:rFonts w:hint="eastAsia" w:ascii="Times New Roman" w:hAnsi="Times New Roman" w:eastAsia="方正仿宋_GB2312" w:cs="Arial"/>
          <w:sz w:val="32"/>
          <w:lang w:eastAsia="zh-CN"/>
        </w:rPr>
        <w:t>包装，便于</w:t>
      </w:r>
      <w:r>
        <w:rPr>
          <w:rFonts w:hint="eastAsia" w:ascii="Times New Roman" w:hAnsi="Times New Roman" w:eastAsia="方正仿宋_GB2312" w:cs="Arial"/>
          <w:sz w:val="32"/>
          <w:lang w:val="en-US" w:eastAsia="zh-CN"/>
        </w:rPr>
        <w:t>后续的</w:t>
      </w:r>
      <w:r>
        <w:rPr>
          <w:rFonts w:hint="eastAsia" w:ascii="Times New Roman" w:hAnsi="Times New Roman" w:eastAsia="方正仿宋_GB2312" w:cs="Arial"/>
          <w:sz w:val="32"/>
          <w:lang w:eastAsia="zh-CN"/>
        </w:rPr>
        <w:t>存储和运输。</w:t>
      </w:r>
    </w:p>
    <w:p w14:paraId="4A8F7A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Arial"/>
          <w:sz w:val="32"/>
          <w:lang w:val="en-US" w:eastAsia="zh-CN"/>
        </w:rPr>
      </w:pPr>
      <w:r>
        <w:rPr>
          <w:rFonts w:hint="eastAsia" w:ascii="Times New Roman" w:hAnsi="Times New Roman" w:eastAsia="方正仿宋_GB2312" w:cs="Arial"/>
          <w:sz w:val="32"/>
          <w:lang w:val="en-US" w:eastAsia="zh-CN"/>
        </w:rPr>
        <w:t>5）贮存</w:t>
      </w:r>
      <w:r>
        <w:rPr>
          <w:rFonts w:hint="eastAsia" w:ascii="Times New Roman" w:hAnsi="Times New Roman" w:eastAsia="方正仿宋_GB2312" w:cs="Arial"/>
          <w:sz w:val="32"/>
          <w:lang w:eastAsia="zh-CN"/>
        </w:rPr>
        <w:t>：</w:t>
      </w:r>
      <w:r>
        <w:rPr>
          <w:rFonts w:hint="eastAsia" w:ascii="Times New Roman" w:hAnsi="Times New Roman" w:eastAsia="方正仿宋_GB2312" w:cs="Arial"/>
          <w:sz w:val="32"/>
          <w:lang w:val="en-US" w:eastAsia="zh-CN"/>
        </w:rPr>
        <w:t>未进行粉碎的</w:t>
      </w:r>
      <w:r>
        <w:rPr>
          <w:rFonts w:hint="eastAsia" w:ascii="Times New Roman" w:hAnsi="Times New Roman" w:eastAsia="方正仿宋_GB2312" w:cs="Arial"/>
          <w:sz w:val="32"/>
          <w:lang w:eastAsia="zh-CN"/>
        </w:rPr>
        <w:t>甘蔗叶</w:t>
      </w:r>
      <w:r>
        <w:rPr>
          <w:rFonts w:hint="eastAsia" w:ascii="Times New Roman" w:hAnsi="Times New Roman" w:eastAsia="方正仿宋_GB2312" w:cs="Arial"/>
          <w:sz w:val="32"/>
          <w:lang w:val="en-US" w:eastAsia="zh-CN"/>
        </w:rPr>
        <w:t>需保存在阴凉干燥防水防火的区域，以便保障甘蔗叶的储存期限和品质。已进行粉碎的甘蔗叶粉应及时与餐厨垃圾进行复配，如果有剩余，也应进行妥善贮存。</w:t>
      </w:r>
    </w:p>
    <w:p w14:paraId="2A5A2B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Arial"/>
          <w:sz w:val="32"/>
          <w:lang w:eastAsia="zh-CN"/>
        </w:rPr>
      </w:pPr>
      <w:r>
        <w:rPr>
          <w:rFonts w:hint="eastAsia" w:ascii="Times New Roman" w:hAnsi="Times New Roman" w:eastAsia="方正仿宋_GB2312" w:cs="Arial"/>
          <w:sz w:val="32"/>
          <w:lang w:eastAsia="zh-CN"/>
        </w:rPr>
        <w:t>（</w:t>
      </w:r>
      <w:r>
        <w:rPr>
          <w:rFonts w:hint="eastAsia" w:ascii="Times New Roman" w:hAnsi="Times New Roman" w:eastAsia="方正仿宋_GB2312" w:cs="Arial"/>
          <w:sz w:val="32"/>
          <w:lang w:val="en-US" w:eastAsia="zh-CN"/>
        </w:rPr>
        <w:t>2</w:t>
      </w:r>
      <w:r>
        <w:rPr>
          <w:rFonts w:hint="eastAsia" w:ascii="Times New Roman" w:hAnsi="Times New Roman" w:eastAsia="方正仿宋_GB2312" w:cs="Arial"/>
          <w:sz w:val="32"/>
          <w:lang w:eastAsia="zh-CN"/>
        </w:rPr>
        <w:t>）餐厨垃圾预处理工艺</w:t>
      </w:r>
    </w:p>
    <w:p w14:paraId="3DA904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Arial"/>
          <w:sz w:val="32"/>
          <w:lang w:val="en-US" w:eastAsia="zh-CN"/>
        </w:rPr>
      </w:pPr>
      <w:r>
        <w:rPr>
          <w:rFonts w:hint="eastAsia" w:ascii="Times New Roman" w:hAnsi="Times New Roman" w:eastAsia="方正仿宋_GB2312" w:cs="Arial"/>
          <w:sz w:val="32"/>
          <w:lang w:val="en-US" w:eastAsia="zh-CN"/>
        </w:rPr>
        <w:t>餐厨垃圾预处理工艺：分拣除杂—破碎制浆</w:t>
      </w:r>
      <w:r>
        <w:rPr>
          <w:rFonts w:hint="eastAsia" w:ascii="Times New Roman" w:hAnsi="Times New Roman" w:eastAsia="方正仿宋_GB2312" w:cs="Arial"/>
          <w:sz w:val="32"/>
          <w:lang w:eastAsia="zh-CN"/>
        </w:rPr>
        <w:t>—</w:t>
      </w:r>
      <w:r>
        <w:rPr>
          <w:rFonts w:hint="eastAsia" w:ascii="Times New Roman" w:hAnsi="Times New Roman" w:eastAsia="方正仿宋_GB2312" w:cs="Arial"/>
          <w:sz w:val="32"/>
          <w:lang w:val="en-US" w:eastAsia="zh-CN"/>
        </w:rPr>
        <w:t>加热提油</w:t>
      </w:r>
      <w:r>
        <w:rPr>
          <w:rFonts w:hint="eastAsia" w:ascii="Times New Roman" w:hAnsi="Times New Roman" w:eastAsia="方正仿宋_GB2312" w:cs="Arial"/>
          <w:sz w:val="32"/>
          <w:lang w:eastAsia="zh-CN"/>
        </w:rPr>
        <w:t>—</w:t>
      </w:r>
      <w:r>
        <w:rPr>
          <w:rFonts w:hint="eastAsia" w:ascii="Times New Roman" w:hAnsi="Times New Roman" w:eastAsia="方正仿宋_GB2312" w:cs="Arial"/>
          <w:sz w:val="32"/>
          <w:lang w:val="en-US" w:eastAsia="zh-CN"/>
        </w:rPr>
        <w:t>除臭</w:t>
      </w:r>
      <w:r>
        <w:rPr>
          <w:rFonts w:hint="eastAsia" w:ascii="Times New Roman" w:hAnsi="Times New Roman" w:eastAsia="方正仿宋_GB2312" w:cs="Arial"/>
          <w:sz w:val="32"/>
          <w:lang w:eastAsia="zh-CN"/>
        </w:rPr>
        <w:t>—</w:t>
      </w:r>
      <w:r>
        <w:rPr>
          <w:rFonts w:hint="eastAsia" w:ascii="Times New Roman" w:hAnsi="Times New Roman" w:eastAsia="方正仿宋_GB2312" w:cs="Arial"/>
          <w:sz w:val="32"/>
          <w:lang w:val="en-US" w:eastAsia="zh-CN"/>
        </w:rPr>
        <w:t>三相分离。具体内容如下：</w:t>
      </w:r>
    </w:p>
    <w:p w14:paraId="4ECDEE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Arial"/>
          <w:sz w:val="32"/>
          <w:lang w:val="en-US" w:eastAsia="zh-CN"/>
        </w:rPr>
      </w:pPr>
      <w:r>
        <w:rPr>
          <w:rFonts w:hint="eastAsia" w:ascii="Times New Roman" w:hAnsi="Times New Roman" w:eastAsia="方正仿宋_GB2312" w:cs="Arial"/>
          <w:sz w:val="32"/>
          <w:lang w:val="en-US" w:eastAsia="zh-CN"/>
        </w:rPr>
        <w:t>1）分拣除杂：按照垃圾分类原则，将餐厨垃圾中含有的非食物杂质，如泥土、一次性筷子、破碎的碗杯等剔除，避免对后续处理过程造成损害。</w:t>
      </w:r>
    </w:p>
    <w:p w14:paraId="6DE7FB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Arial"/>
          <w:sz w:val="32"/>
          <w:lang w:val="en-US" w:eastAsia="zh-CN"/>
        </w:rPr>
      </w:pPr>
      <w:r>
        <w:rPr>
          <w:rFonts w:hint="eastAsia" w:ascii="Times New Roman" w:hAnsi="Times New Roman" w:eastAsia="方正仿宋_GB2312" w:cs="Arial"/>
          <w:sz w:val="32"/>
          <w:lang w:val="en-US" w:eastAsia="zh-CN"/>
        </w:rPr>
        <w:t>2）破碎制浆：通过水力碎浆机将餐厨垃圾分解为细小的颗粒状，然后通过筛浆机去除大块物质和杂质。</w:t>
      </w:r>
    </w:p>
    <w:p w14:paraId="56307C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Arial"/>
          <w:sz w:val="32"/>
          <w:lang w:val="en-US" w:eastAsia="zh-CN"/>
        </w:rPr>
      </w:pPr>
      <w:r>
        <w:rPr>
          <w:rFonts w:hint="eastAsia" w:ascii="Times New Roman" w:hAnsi="Times New Roman" w:eastAsia="方正仿宋_GB2312" w:cs="Arial"/>
          <w:sz w:val="32"/>
          <w:lang w:val="en-US" w:eastAsia="zh-CN"/>
        </w:rPr>
        <w:t>3）加热提油：对粉碎后的餐厨垃圾颗粒物进行加热，以此来提高油脂的流动性，通过水力制浆机的处理，可以实现餐厨垃圾中的地沟油等资源成分的回收。</w:t>
      </w:r>
    </w:p>
    <w:p w14:paraId="65E6CF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Arial"/>
          <w:sz w:val="32"/>
          <w:lang w:val="en-US" w:eastAsia="zh-CN"/>
        </w:rPr>
      </w:pPr>
      <w:r>
        <w:rPr>
          <w:rFonts w:hint="eastAsia" w:ascii="Times New Roman" w:hAnsi="Times New Roman" w:eastAsia="方正仿宋_GB2312" w:cs="Arial"/>
          <w:sz w:val="32"/>
          <w:lang w:val="en-US" w:eastAsia="zh-CN"/>
        </w:rPr>
        <w:t>4）除臭：餐厨垃圾包括大量含氮、硫的化合物等恶臭气体，预处理过程中添加具有除臭效果的微生物制剂（枯草芽孢杆菌、乳酸菌和酵母菌），按餐厨垃圾与复合微生物制剂按照质量比500:1的配比进行添加。</w:t>
      </w:r>
    </w:p>
    <w:p w14:paraId="142386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Arial"/>
          <w:sz w:val="32"/>
          <w:lang w:val="en-US" w:eastAsia="zh-CN"/>
        </w:rPr>
      </w:pPr>
      <w:r>
        <w:rPr>
          <w:rFonts w:hint="eastAsia" w:ascii="Times New Roman" w:hAnsi="Times New Roman" w:eastAsia="方正仿宋_GB2312" w:cs="Arial"/>
          <w:sz w:val="32"/>
          <w:lang w:val="en-US" w:eastAsia="zh-CN"/>
        </w:rPr>
        <w:t>5）三相分离：三相分离后，产生的有机固渣含水率在80%-85%，干物质中有机质含量在90%以上。</w:t>
      </w:r>
    </w:p>
    <w:p w14:paraId="4FA23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Arial"/>
          <w:sz w:val="32"/>
          <w:lang w:eastAsia="zh-CN"/>
        </w:rPr>
      </w:pPr>
      <w:r>
        <w:rPr>
          <w:rFonts w:hint="eastAsia" w:ascii="Times New Roman" w:hAnsi="Times New Roman" w:eastAsia="方正仿宋_GB2312" w:cs="Arial"/>
          <w:sz w:val="32"/>
          <w:lang w:eastAsia="zh-CN"/>
        </w:rPr>
        <w:t>（</w:t>
      </w:r>
      <w:r>
        <w:rPr>
          <w:rFonts w:hint="eastAsia" w:ascii="Times New Roman" w:hAnsi="Times New Roman" w:eastAsia="方正仿宋_GB2312" w:cs="Arial"/>
          <w:sz w:val="32"/>
          <w:lang w:val="en-US" w:eastAsia="zh-CN"/>
        </w:rPr>
        <w:t>3</w:t>
      </w:r>
      <w:r>
        <w:rPr>
          <w:rFonts w:hint="eastAsia" w:ascii="Times New Roman" w:hAnsi="Times New Roman" w:eastAsia="方正仿宋_GB2312" w:cs="Arial"/>
          <w:sz w:val="32"/>
          <w:lang w:eastAsia="zh-CN"/>
        </w:rPr>
        <w:t>）甘蔗叶粉与餐厨垃圾混合比例</w:t>
      </w:r>
    </w:p>
    <w:p w14:paraId="04A2A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2312" w:cs="Arial"/>
          <w:sz w:val="32"/>
        </w:rPr>
      </w:pPr>
      <w:r>
        <w:rPr>
          <w:rFonts w:hint="eastAsia" w:ascii="Times New Roman" w:hAnsi="Times New Roman" w:eastAsia="方正仿宋_GB2312" w:cs="Arial"/>
          <w:sz w:val="32"/>
          <w:lang w:val="en-US" w:eastAsia="zh-CN"/>
        </w:rPr>
        <w:t>采用甘蔗叶粉作为辅料，按照质量比1:16的配比添加至浆粕中，调节含水率至65%-70%为宜（感官判断为用手握紧基料基本成团而指缝略微渗出水分），基质平铺厚度为10cm。</w:t>
      </w:r>
    </w:p>
    <w:p w14:paraId="1A8D2E8C">
      <w:pPr>
        <w:spacing w:line="560" w:lineRule="exact"/>
        <w:ind w:firstLine="640" w:firstLineChars="200"/>
        <w:rPr>
          <w:rFonts w:eastAsia="黑体"/>
          <w:bCs/>
          <w:kern w:val="44"/>
          <w:sz w:val="32"/>
        </w:rPr>
      </w:pPr>
      <w:r>
        <w:rPr>
          <w:rFonts w:eastAsia="黑体"/>
          <w:bCs/>
          <w:kern w:val="44"/>
          <w:sz w:val="32"/>
        </w:rPr>
        <w:t>三、主要试验或验证的分析、综述报告，技术经济论证，预期的经济效果</w:t>
      </w:r>
    </w:p>
    <w:p w14:paraId="5336254B">
      <w:pPr>
        <w:spacing w:line="560" w:lineRule="exact"/>
        <w:ind w:firstLine="643" w:firstLineChars="200"/>
        <w:rPr>
          <w:rFonts w:hint="eastAsia" w:ascii="方正仿宋_GB2312" w:hAnsi="方正仿宋_GB2312" w:eastAsia="方正仿宋_GB2312" w:cs="方正仿宋_GB2312"/>
          <w:b/>
          <w:bCs/>
          <w:sz w:val="32"/>
        </w:rPr>
      </w:pPr>
      <w:r>
        <w:rPr>
          <w:rFonts w:hint="eastAsia" w:ascii="方正仿宋_GB2312" w:hAnsi="方正仿宋_GB2312" w:eastAsia="方正仿宋_GB2312" w:cs="方正仿宋_GB2312"/>
          <w:b/>
          <w:bCs/>
          <w:sz w:val="32"/>
        </w:rPr>
        <w:t>（一）主要试验或验证的分析、综述报告</w:t>
      </w:r>
    </w:p>
    <w:p w14:paraId="157B5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黑体"/>
          <w:bCs/>
          <w:sz w:val="32"/>
          <w:szCs w:val="32"/>
          <w:lang w:val="en-US"/>
        </w:rPr>
      </w:pPr>
      <w:r>
        <w:rPr>
          <w:rFonts w:hint="eastAsia" w:ascii="Times New Roman" w:hAnsi="Times New Roman" w:eastAsia="方正仿宋_GB2312" w:cs="黑体"/>
          <w:bCs/>
          <w:sz w:val="32"/>
          <w:szCs w:val="32"/>
          <w:lang w:val="en-US" w:eastAsia="zh-CN"/>
        </w:rPr>
        <w:t>该标准在</w:t>
      </w:r>
      <w:r>
        <w:rPr>
          <w:rFonts w:hint="eastAsia" w:eastAsia="方正仿宋_GB2312" w:cs="黑体"/>
          <w:bCs/>
          <w:sz w:val="32"/>
          <w:szCs w:val="32"/>
          <w:lang w:val="en-US" w:eastAsia="zh-CN"/>
        </w:rPr>
        <w:t>实地考察调研了</w:t>
      </w:r>
      <w:r>
        <w:rPr>
          <w:rFonts w:hint="eastAsia" w:ascii="Times New Roman" w:hAnsi="Times New Roman" w:eastAsia="方正仿宋_GB2312" w:cs="黑体"/>
          <w:bCs/>
          <w:sz w:val="32"/>
          <w:szCs w:val="32"/>
          <w:lang w:val="en-US" w:eastAsia="zh-CN"/>
        </w:rPr>
        <w:t>广东多芝源科技有限公司、海南中锋生物科技有限公司、湖南御雄生物科技有限公司</w:t>
      </w:r>
      <w:r>
        <w:rPr>
          <w:rFonts w:hint="eastAsia" w:ascii="Times New Roman" w:hAnsi="Times New Roman" w:eastAsia="方正仿宋_GB2312" w:cs="黑体"/>
          <w:bCs/>
          <w:sz w:val="32"/>
          <w:szCs w:val="32"/>
        </w:rPr>
        <w:t>等生产企业</w:t>
      </w:r>
      <w:r>
        <w:rPr>
          <w:rFonts w:hint="eastAsia" w:ascii="Times New Roman" w:hAnsi="Times New Roman" w:eastAsia="方正仿宋_GB2312" w:cs="黑体"/>
          <w:bCs/>
          <w:sz w:val="32"/>
          <w:szCs w:val="32"/>
          <w:lang w:val="en-US" w:eastAsia="zh-CN"/>
        </w:rPr>
        <w:t>对黑水虻处理餐厨垃圾工艺流程的基础上，</w:t>
      </w:r>
      <w:r>
        <w:rPr>
          <w:rFonts w:hint="eastAsia" w:eastAsia="方正仿宋_GB2312" w:cs="黑体"/>
          <w:bCs/>
          <w:sz w:val="32"/>
          <w:szCs w:val="32"/>
          <w:lang w:val="en-US" w:eastAsia="zh-CN"/>
        </w:rPr>
        <w:t>掌握了</w:t>
      </w:r>
      <w:r>
        <w:rPr>
          <w:rFonts w:hint="eastAsia" w:ascii="Times New Roman" w:hAnsi="Times New Roman" w:eastAsia="方正仿宋_GB2312" w:cs="黑体"/>
          <w:bCs/>
          <w:sz w:val="32"/>
          <w:szCs w:val="32"/>
          <w:lang w:val="en-US" w:eastAsia="zh-CN"/>
        </w:rPr>
        <w:t>黑水虻处理有机废弃物整个生物转化</w:t>
      </w:r>
      <w:r>
        <w:rPr>
          <w:rFonts w:hint="eastAsia" w:eastAsia="方正仿宋_GB2312" w:cs="黑体"/>
          <w:bCs/>
          <w:sz w:val="32"/>
          <w:szCs w:val="32"/>
          <w:lang w:val="en-US" w:eastAsia="zh-CN"/>
        </w:rPr>
        <w:t>及养殖技术</w:t>
      </w:r>
      <w:r>
        <w:rPr>
          <w:rFonts w:hint="eastAsia" w:ascii="Times New Roman" w:hAnsi="Times New Roman" w:eastAsia="方正仿宋_GB2312" w:cs="黑体"/>
          <w:bCs/>
          <w:sz w:val="32"/>
          <w:szCs w:val="32"/>
          <w:lang w:eastAsia="zh-CN"/>
        </w:rPr>
        <w:t>。</w:t>
      </w:r>
      <w:r>
        <w:rPr>
          <w:rFonts w:hint="eastAsia" w:ascii="Times New Roman" w:hAnsi="Times New Roman" w:eastAsia="方正仿宋_GB2312" w:cs="黑体"/>
          <w:bCs/>
          <w:sz w:val="32"/>
          <w:szCs w:val="32"/>
          <w:lang w:val="en-US" w:eastAsia="zh-CN"/>
        </w:rPr>
        <w:t>对餐厨垃圾进行预处理，一方面，将餐厨垃圾分拣去除杂质，破碎制浆，然后进行微生物发酵，达到对虫子最合适的状态。另一方面，由于黑水虻生命力较强，如无有效控制可能对环境造成不良影响，因此在喂养过程中需严格控制数量，保证清洁卫生。</w:t>
      </w:r>
    </w:p>
    <w:p w14:paraId="758B33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黑体"/>
          <w:bCs/>
          <w:sz w:val="32"/>
          <w:szCs w:val="32"/>
        </w:rPr>
      </w:pPr>
    </w:p>
    <w:p w14:paraId="5BE85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黑体"/>
          <w:bCs/>
          <w:sz w:val="32"/>
          <w:szCs w:val="32"/>
        </w:rPr>
      </w:pPr>
    </w:p>
    <w:p w14:paraId="157F5B3C">
      <w:pPr>
        <w:spacing w:line="560" w:lineRule="exact"/>
        <w:ind w:firstLine="420"/>
        <w:rPr>
          <w:rFonts w:eastAsia="仿宋_GB2312" w:cs="Arial"/>
          <w:sz w:val="32"/>
        </w:rPr>
      </w:pPr>
    </w:p>
    <w:p w14:paraId="1C933150">
      <w:pPr>
        <w:spacing w:line="560" w:lineRule="exact"/>
        <w:ind w:firstLine="420"/>
        <w:rPr>
          <w:rFonts w:eastAsia="仿宋_GB2312" w:cs="Arial"/>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19685</wp:posOffset>
                </wp:positionV>
                <wp:extent cx="5464810" cy="2846070"/>
                <wp:effectExtent l="0" t="0" r="2540" b="11430"/>
                <wp:wrapNone/>
                <wp:docPr id="1" name="文本框 1"/>
                <wp:cNvGraphicFramePr/>
                <a:graphic xmlns:a="http://schemas.openxmlformats.org/drawingml/2006/main">
                  <a:graphicData uri="http://schemas.microsoft.com/office/word/2010/wordprocessingShape">
                    <wps:wsp>
                      <wps:cNvSpPr txBox="1"/>
                      <wps:spPr>
                        <a:xfrm>
                          <a:off x="1327785" y="1416685"/>
                          <a:ext cx="5464810" cy="28460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E4B58AE">
                            <w:pPr>
                              <w:jc w:val="center"/>
                            </w:pPr>
                            <w:r>
                              <w:drawing>
                                <wp:inline distT="0" distB="0" distL="0" distR="0">
                                  <wp:extent cx="4349115" cy="2726690"/>
                                  <wp:effectExtent l="0" t="0" r="1333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349115" cy="272669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1.55pt;height:224.1pt;width:430.3pt;z-index:251659264;mso-width-relative:page;mso-height-relative:page;" fillcolor="#FFFFFF [3201]" filled="t" stroked="f" coordsize="21600,21600" o:gfxdata="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ZEtUL1AAA&#10;AAcBAAAPAAAAAAAAAAEAIAAAACIAAABkcnMvZG93bnJldi54bWxQSwECFAAUAAAACACHTuJA1xpW&#10;WFsCAACcBAAADgAAAAAAAAABACAAAAAjAQAAZHJzL2Uyb0RvYy54bWxQSwUGAAAAAAYABgBZAQAA&#10;8AUAAAAA&#10;">
                <v:fill on="t" focussize="0,0"/>
                <v:stroke on="f" weight="0.5pt"/>
                <v:imagedata o:title=""/>
                <o:lock v:ext="edit" aspectratio="f"/>
                <v:textbox>
                  <w:txbxContent>
                    <w:p w14:paraId="5E4B58AE">
                      <w:pPr>
                        <w:jc w:val="center"/>
                      </w:pPr>
                      <w:r>
                        <w:drawing>
                          <wp:inline distT="0" distB="0" distL="0" distR="0">
                            <wp:extent cx="4349115" cy="2726690"/>
                            <wp:effectExtent l="0" t="0" r="1333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349115" cy="2726690"/>
                                    </a:xfrm>
                                    <a:prstGeom prst="rect">
                                      <a:avLst/>
                                    </a:prstGeom>
                                    <a:noFill/>
                                  </pic:spPr>
                                </pic:pic>
                              </a:graphicData>
                            </a:graphic>
                          </wp:inline>
                        </w:drawing>
                      </w:r>
                    </w:p>
                  </w:txbxContent>
                </v:textbox>
              </v:shape>
            </w:pict>
          </mc:Fallback>
        </mc:AlternateContent>
      </w:r>
    </w:p>
    <w:p w14:paraId="1E3E0F32">
      <w:pPr>
        <w:spacing w:line="560" w:lineRule="exact"/>
        <w:ind w:firstLine="420"/>
        <w:rPr>
          <w:rFonts w:eastAsia="仿宋_GB2312" w:cs="Arial"/>
          <w:sz w:val="32"/>
        </w:rPr>
      </w:pPr>
    </w:p>
    <w:p w14:paraId="6C5325B7">
      <w:pPr>
        <w:spacing w:line="560" w:lineRule="exact"/>
        <w:ind w:firstLine="420"/>
        <w:rPr>
          <w:rFonts w:eastAsia="仿宋_GB2312" w:cs="Arial"/>
          <w:sz w:val="32"/>
        </w:rPr>
      </w:pPr>
    </w:p>
    <w:p w14:paraId="2D2EEF23">
      <w:pPr>
        <w:spacing w:line="560" w:lineRule="exact"/>
        <w:ind w:firstLine="420"/>
        <w:rPr>
          <w:rFonts w:eastAsia="仿宋_GB2312" w:cs="Arial"/>
          <w:sz w:val="32"/>
        </w:rPr>
      </w:pPr>
    </w:p>
    <w:p w14:paraId="1A1DBB14">
      <w:pPr>
        <w:spacing w:line="560" w:lineRule="exact"/>
        <w:ind w:firstLine="420"/>
        <w:rPr>
          <w:rFonts w:eastAsia="仿宋_GB2312" w:cs="Arial"/>
          <w:sz w:val="32"/>
        </w:rPr>
      </w:pPr>
    </w:p>
    <w:p w14:paraId="273BE5B9">
      <w:pPr>
        <w:spacing w:line="560" w:lineRule="exact"/>
        <w:ind w:firstLine="420"/>
        <w:rPr>
          <w:rFonts w:eastAsia="仿宋_GB2312" w:cs="Arial"/>
          <w:sz w:val="32"/>
        </w:rPr>
      </w:pPr>
    </w:p>
    <w:p w14:paraId="417F8E6F">
      <w:pPr>
        <w:spacing w:line="560" w:lineRule="exact"/>
        <w:ind w:firstLine="420"/>
        <w:rPr>
          <w:rFonts w:eastAsia="仿宋_GB2312" w:cs="Arial"/>
          <w:sz w:val="32"/>
        </w:rPr>
      </w:pPr>
    </w:p>
    <w:p w14:paraId="7EE8E98A">
      <w:pPr>
        <w:spacing w:line="560" w:lineRule="exact"/>
        <w:rPr>
          <w:rFonts w:eastAsia="仿宋_GB2312" w:cs="Arial"/>
          <w:sz w:val="32"/>
        </w:rPr>
      </w:pPr>
    </w:p>
    <w:p w14:paraId="49DF84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2312" w:hAnsi="方正仿宋_GB2312" w:eastAsia="方正仿宋_GB2312" w:cs="方正仿宋_GB2312"/>
          <w:b w:val="0"/>
          <w:bCs w:val="0"/>
          <w:sz w:val="32"/>
          <w:lang w:val="en-US" w:eastAsia="zh-CN"/>
        </w:rPr>
      </w:pPr>
      <w:r>
        <w:rPr>
          <w:rFonts w:hint="eastAsia" w:ascii="方正仿宋_GB2312" w:hAnsi="方正仿宋_GB2312" w:eastAsia="方正仿宋_GB2312" w:cs="方正仿宋_GB2312"/>
          <w:b w:val="0"/>
          <w:bCs w:val="0"/>
          <w:sz w:val="32"/>
          <w:lang w:val="en-US" w:eastAsia="zh-CN"/>
        </w:rPr>
        <w:t>餐厨垃圾饲喂工艺流程</w:t>
      </w:r>
    </w:p>
    <w:p w14:paraId="57B17602">
      <w:pPr>
        <w:spacing w:line="560" w:lineRule="exact"/>
        <w:ind w:firstLine="643" w:firstLineChars="200"/>
        <w:rPr>
          <w:rFonts w:hint="eastAsia" w:ascii="方正仿宋_GB2312" w:hAnsi="方正仿宋_GB2312" w:eastAsia="方正仿宋_GB2312" w:cs="方正仿宋_GB2312"/>
          <w:b/>
          <w:bCs/>
          <w:sz w:val="32"/>
        </w:rPr>
      </w:pPr>
      <w:r>
        <w:rPr>
          <w:rFonts w:hint="eastAsia" w:ascii="方正仿宋_GB2312" w:hAnsi="方正仿宋_GB2312" w:eastAsia="方正仿宋_GB2312" w:cs="方正仿宋_GB2312"/>
          <w:b/>
          <w:bCs/>
          <w:sz w:val="32"/>
        </w:rPr>
        <w:t>（二）技术经济论证、预期的经济效果</w:t>
      </w:r>
    </w:p>
    <w:p w14:paraId="5D17DE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2312" w:cs="黑体"/>
          <w:bCs/>
          <w:sz w:val="32"/>
          <w:szCs w:val="32"/>
        </w:rPr>
      </w:pPr>
      <w:r>
        <w:rPr>
          <w:rFonts w:hint="default" w:eastAsia="方正仿宋_GB2312" w:cs="黑体"/>
          <w:bCs/>
          <w:sz w:val="32"/>
          <w:szCs w:val="32"/>
        </w:rPr>
        <w:t>黑水虻以蛋白质为食，可以通过将餐厨垃圾喂给它们进行食物转换，将有机物质分解为无机物质，同时产生高质量的蛋白质以供后续利用。与传统的焚烧、填埋等处理方式相比，喂养黑水虻有以下优势：</w:t>
      </w:r>
    </w:p>
    <w:p w14:paraId="7623D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2312" w:cs="黑体"/>
          <w:bCs/>
          <w:sz w:val="32"/>
          <w:szCs w:val="32"/>
        </w:rPr>
      </w:pPr>
      <w:r>
        <w:rPr>
          <w:rFonts w:hint="default" w:eastAsia="方正仿宋_GB2312" w:cs="黑体"/>
          <w:bCs/>
          <w:sz w:val="32"/>
          <w:szCs w:val="32"/>
        </w:rPr>
        <w:t>1. 环保：喂养黑水虻是一种“无废”处理方式，可以有效减少垃圾的体积和重量，减少对环境的污染。</w:t>
      </w:r>
    </w:p>
    <w:p w14:paraId="03AC7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2312" w:cs="黑体"/>
          <w:bCs/>
          <w:sz w:val="32"/>
          <w:szCs w:val="32"/>
        </w:rPr>
      </w:pPr>
      <w:r>
        <w:rPr>
          <w:rFonts w:hint="default" w:eastAsia="方正仿宋_GB2312" w:cs="黑体"/>
          <w:bCs/>
          <w:sz w:val="32"/>
          <w:szCs w:val="32"/>
        </w:rPr>
        <w:t>2. 可回收利用：通过黑水虻的蛋白质转化，可以获得高质量的鱼粉、鱼油等产品，具有很高的经济价值。</w:t>
      </w:r>
    </w:p>
    <w:p w14:paraId="48BBF3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2312" w:cs="黑体"/>
          <w:bCs/>
          <w:sz w:val="32"/>
          <w:szCs w:val="32"/>
        </w:rPr>
      </w:pPr>
      <w:r>
        <w:rPr>
          <w:rFonts w:hint="default" w:eastAsia="方正仿宋_GB2312" w:cs="黑体"/>
          <w:bCs/>
          <w:sz w:val="32"/>
          <w:szCs w:val="32"/>
        </w:rPr>
        <w:t>3. 降低处理成本：相比于传统的处理方式，喂养黑水虻的处理成本更低。</w:t>
      </w:r>
    </w:p>
    <w:p w14:paraId="120CBD36">
      <w:pPr>
        <w:spacing w:line="560" w:lineRule="exact"/>
        <w:ind w:firstLine="640" w:firstLineChars="200"/>
        <w:rPr>
          <w:rFonts w:eastAsia="黑体"/>
          <w:bCs/>
          <w:kern w:val="44"/>
          <w:sz w:val="32"/>
        </w:rPr>
      </w:pPr>
      <w:r>
        <w:rPr>
          <w:rFonts w:eastAsia="黑体"/>
          <w:bCs/>
          <w:kern w:val="44"/>
          <w:sz w:val="32"/>
        </w:rPr>
        <w:t>四、</w:t>
      </w:r>
      <w:r>
        <w:rPr>
          <w:rFonts w:hint="eastAsia" w:eastAsia="黑体"/>
          <w:bCs/>
          <w:kern w:val="44"/>
          <w:sz w:val="32"/>
        </w:rPr>
        <w:t>与国际、国外同类标准技术内容的对比情况，或者与测试的国外样品、样机的有关数据对比情况</w:t>
      </w:r>
    </w:p>
    <w:p w14:paraId="5DE3B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hint="eastAsia" w:eastAsia="仿宋_GB2312"/>
          <w:sz w:val="32"/>
          <w:lang w:val="en-US" w:eastAsia="zh-CN"/>
        </w:rPr>
        <w:t>无</w:t>
      </w:r>
    </w:p>
    <w:p w14:paraId="09760626">
      <w:pPr>
        <w:spacing w:line="560" w:lineRule="exact"/>
        <w:ind w:firstLine="640" w:firstLineChars="200"/>
        <w:rPr>
          <w:rFonts w:eastAsia="黑体"/>
          <w:bCs/>
          <w:kern w:val="44"/>
          <w:sz w:val="32"/>
        </w:rPr>
      </w:pPr>
      <w:r>
        <w:rPr>
          <w:rFonts w:eastAsia="黑体"/>
          <w:bCs/>
          <w:kern w:val="44"/>
          <w:sz w:val="32"/>
        </w:rPr>
        <w:t>五、</w:t>
      </w:r>
      <w:r>
        <w:rPr>
          <w:rFonts w:hint="eastAsia" w:eastAsia="黑体"/>
          <w:bCs/>
          <w:kern w:val="44"/>
          <w:sz w:val="32"/>
        </w:rPr>
        <w:t>以国际标准为基础的起草情况，以及是否合规引用或者采用国际国外标准，并说明未采用国际标准的原因</w:t>
      </w:r>
    </w:p>
    <w:p w14:paraId="79839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eastAsia="仿宋_GB2312"/>
          <w:sz w:val="32"/>
        </w:rPr>
        <w:t>本标准为首次自主制定，未引用或者采用国际国外标准。</w:t>
      </w:r>
    </w:p>
    <w:p w14:paraId="2F8F6751">
      <w:pPr>
        <w:spacing w:line="560" w:lineRule="exact"/>
        <w:ind w:firstLine="640" w:firstLineChars="200"/>
        <w:rPr>
          <w:rFonts w:eastAsia="黑体"/>
          <w:bCs/>
          <w:kern w:val="44"/>
          <w:sz w:val="32"/>
        </w:rPr>
      </w:pPr>
      <w:r>
        <w:rPr>
          <w:rFonts w:eastAsia="黑体"/>
          <w:bCs/>
          <w:kern w:val="44"/>
          <w:sz w:val="32"/>
        </w:rPr>
        <w:t>六、</w:t>
      </w:r>
      <w:r>
        <w:rPr>
          <w:rFonts w:hint="eastAsia" w:eastAsia="黑体"/>
          <w:bCs/>
          <w:kern w:val="44"/>
          <w:sz w:val="32"/>
        </w:rPr>
        <w:t>与有关法律、行政法规及相关标准的关系</w:t>
      </w:r>
    </w:p>
    <w:p w14:paraId="275634E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eastAsia="仿宋_GB2312"/>
          <w:sz w:val="32"/>
          <w:lang w:eastAsia="zh-CN"/>
        </w:rPr>
      </w:pPr>
      <w:r>
        <w:rPr>
          <w:rFonts w:eastAsia="仿宋_GB2312"/>
          <w:sz w:val="32"/>
        </w:rPr>
        <w:t>本标准编制过程中，参考了国家、行业有关标准，与相关的现行法律、法规和强制性标准相协调，无冲突</w:t>
      </w:r>
      <w:r>
        <w:rPr>
          <w:rFonts w:hint="eastAsia" w:eastAsia="仿宋_GB2312"/>
          <w:sz w:val="32"/>
          <w:lang w:eastAsia="zh-CN"/>
        </w:rPr>
        <w:t>。</w:t>
      </w:r>
    </w:p>
    <w:p w14:paraId="43E70405">
      <w:pPr>
        <w:spacing w:line="560" w:lineRule="exact"/>
        <w:ind w:firstLine="640" w:firstLineChars="200"/>
        <w:rPr>
          <w:rFonts w:eastAsia="黑体"/>
          <w:bCs/>
          <w:kern w:val="44"/>
          <w:sz w:val="32"/>
        </w:rPr>
      </w:pPr>
      <w:r>
        <w:rPr>
          <w:rFonts w:eastAsia="黑体"/>
          <w:bCs/>
          <w:kern w:val="44"/>
          <w:sz w:val="32"/>
        </w:rPr>
        <w:t>七、</w:t>
      </w:r>
      <w:r>
        <w:rPr>
          <w:rFonts w:hint="eastAsia" w:eastAsia="黑体"/>
          <w:bCs/>
          <w:kern w:val="44"/>
          <w:sz w:val="32"/>
        </w:rPr>
        <w:t>重大分歧意见的处理经过和依据</w:t>
      </w:r>
    </w:p>
    <w:p w14:paraId="42349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lang w:val="en-US" w:eastAsia="zh-CN"/>
        </w:rPr>
      </w:pPr>
      <w:r>
        <w:rPr>
          <w:rFonts w:hint="eastAsia" w:eastAsia="仿宋_GB2312"/>
          <w:sz w:val="32"/>
          <w:lang w:val="en-US" w:eastAsia="zh-CN"/>
        </w:rPr>
        <w:t>无</w:t>
      </w:r>
    </w:p>
    <w:p w14:paraId="21EBF780">
      <w:pPr>
        <w:spacing w:line="560" w:lineRule="exact"/>
        <w:ind w:firstLine="640" w:firstLineChars="200"/>
        <w:rPr>
          <w:rFonts w:eastAsia="黑体"/>
          <w:bCs/>
          <w:kern w:val="44"/>
          <w:sz w:val="32"/>
        </w:rPr>
      </w:pPr>
      <w:r>
        <w:rPr>
          <w:rFonts w:eastAsia="黑体"/>
          <w:bCs/>
          <w:kern w:val="44"/>
          <w:sz w:val="32"/>
        </w:rPr>
        <w:t>八、</w:t>
      </w:r>
      <w:r>
        <w:rPr>
          <w:rFonts w:hint="eastAsia" w:eastAsia="黑体"/>
          <w:bCs/>
          <w:kern w:val="44"/>
          <w:sz w:val="32"/>
        </w:rPr>
        <w:t>涉及专利的有关说明</w:t>
      </w:r>
    </w:p>
    <w:p w14:paraId="30525D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lang w:eastAsia="zh-CN"/>
        </w:rPr>
      </w:pPr>
      <w:r>
        <w:rPr>
          <w:rFonts w:hint="eastAsia" w:eastAsia="仿宋_GB2312"/>
          <w:sz w:val="32"/>
          <w:lang w:val="en-US" w:eastAsia="zh-CN"/>
        </w:rPr>
        <w:t>无</w:t>
      </w:r>
    </w:p>
    <w:p w14:paraId="4391B0C9">
      <w:pPr>
        <w:spacing w:line="560" w:lineRule="exact"/>
        <w:ind w:firstLine="640" w:firstLineChars="200"/>
        <w:rPr>
          <w:rFonts w:eastAsia="黑体"/>
          <w:bCs/>
          <w:kern w:val="44"/>
          <w:sz w:val="32"/>
        </w:rPr>
      </w:pPr>
      <w:r>
        <w:rPr>
          <w:rFonts w:eastAsia="黑体"/>
          <w:bCs/>
          <w:kern w:val="44"/>
          <w:sz w:val="32"/>
        </w:rPr>
        <w:t>九、</w:t>
      </w:r>
      <w:r>
        <w:rPr>
          <w:rFonts w:hint="eastAsia" w:eastAsia="黑体"/>
          <w:bCs/>
          <w:kern w:val="44"/>
          <w:sz w:val="32"/>
        </w:rPr>
        <w:t>实施标准的要求，以及组织措施、技术措施、过渡期和实施日期的建议等措施建议</w:t>
      </w:r>
    </w:p>
    <w:p w14:paraId="55790F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lang w:eastAsia="zh-CN"/>
        </w:rPr>
      </w:pPr>
      <w:r>
        <w:rPr>
          <w:rFonts w:hint="eastAsia" w:eastAsia="仿宋_GB2312"/>
          <w:sz w:val="32"/>
          <w:lang w:val="en-US" w:eastAsia="zh-CN"/>
        </w:rPr>
        <w:t>无</w:t>
      </w:r>
    </w:p>
    <w:p w14:paraId="5501F7C8">
      <w:pPr>
        <w:spacing w:line="560" w:lineRule="exact"/>
        <w:ind w:firstLine="640" w:firstLineChars="200"/>
        <w:rPr>
          <w:rFonts w:eastAsia="黑体"/>
          <w:bCs/>
          <w:kern w:val="44"/>
          <w:sz w:val="32"/>
        </w:rPr>
      </w:pPr>
      <w:r>
        <w:rPr>
          <w:rFonts w:eastAsia="黑体"/>
          <w:bCs/>
          <w:kern w:val="44"/>
          <w:sz w:val="32"/>
        </w:rPr>
        <w:t>十、其他应予说明的事项</w:t>
      </w:r>
    </w:p>
    <w:p w14:paraId="209BFB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无</w:t>
      </w:r>
    </w:p>
    <w:p w14:paraId="462C1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Cs/>
          <w:kern w:val="44"/>
          <w:sz w:val="32"/>
        </w:rPr>
      </w:pPr>
      <w:bookmarkStart w:id="1" w:name="_GoBack"/>
      <w:r>
        <w:rPr>
          <w:rFonts w:hint="eastAsia" w:ascii="Times New Roman" w:hAnsi="Times New Roman" w:eastAsia="黑体" w:cs="Times New Roman"/>
          <w:bCs/>
          <w:kern w:val="44"/>
          <w:sz w:val="32"/>
        </w:rPr>
        <w:t>主要参考资料</w:t>
      </w:r>
    </w:p>
    <w:bookmarkEnd w:id="1"/>
    <w:p w14:paraId="457C4F22">
      <w:pPr>
        <w:keepNext w:val="0"/>
        <w:keepLines w:val="0"/>
        <w:pageBreakBefore w:val="0"/>
        <w:widowControl w:val="0"/>
        <w:numPr>
          <w:ilvl w:val="0"/>
          <w:numId w:val="1"/>
        </w:numPr>
        <w:kinsoku/>
        <w:wordWrap w:val="0"/>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Times New Roman" w:hAnsi="Times New Roman" w:eastAsia="方正仿宋_GB2312" w:cs="宋体"/>
          <w:sz w:val="32"/>
          <w:szCs w:val="32"/>
        </w:rPr>
      </w:pPr>
      <w:r>
        <w:rPr>
          <w:rFonts w:hint="eastAsia" w:ascii="Times New Roman" w:hAnsi="Times New Roman" w:eastAsia="方正仿宋_GB2312" w:cs="宋体"/>
          <w:sz w:val="32"/>
          <w:szCs w:val="32"/>
          <w:lang w:val="en-US" w:eastAsia="zh-CN"/>
        </w:rPr>
        <w:t>GB/T 28739 餐饮业餐厨废弃物处理与利用设备</w:t>
      </w:r>
    </w:p>
    <w:p w14:paraId="1E3974EC">
      <w:pPr>
        <w:keepNext w:val="0"/>
        <w:keepLines w:val="0"/>
        <w:pageBreakBefore w:val="0"/>
        <w:widowControl w:val="0"/>
        <w:numPr>
          <w:ilvl w:val="0"/>
          <w:numId w:val="1"/>
        </w:numPr>
        <w:kinsoku/>
        <w:wordWrap w:val="0"/>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Times New Roman" w:hAnsi="Times New Roman" w:eastAsia="方正仿宋_GB2312" w:cs="宋体"/>
          <w:sz w:val="32"/>
          <w:szCs w:val="32"/>
        </w:rPr>
      </w:pPr>
      <w:r>
        <w:rPr>
          <w:rFonts w:hint="eastAsia" w:ascii="Times New Roman" w:hAnsi="Times New Roman" w:eastAsia="方正仿宋_GB2312" w:cs="宋体"/>
          <w:sz w:val="32"/>
          <w:szCs w:val="32"/>
          <w:lang w:val="en-US" w:eastAsia="zh-CN"/>
        </w:rPr>
        <w:t>T/GDBX 048-2022 厨余垃圾生产黑水虻饲料技术规程</w:t>
      </w:r>
    </w:p>
    <w:p w14:paraId="75B9361B">
      <w:pPr>
        <w:keepNext w:val="0"/>
        <w:keepLines w:val="0"/>
        <w:pageBreakBefore w:val="0"/>
        <w:widowControl w:val="0"/>
        <w:numPr>
          <w:ilvl w:val="0"/>
          <w:numId w:val="1"/>
        </w:numPr>
        <w:kinsoku/>
        <w:wordWrap w:val="0"/>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Times New Roman" w:hAnsi="Times New Roman" w:eastAsia="方正仿宋_GB2312" w:cs="宋体"/>
          <w:sz w:val="32"/>
          <w:szCs w:val="32"/>
        </w:rPr>
      </w:pPr>
      <w:r>
        <w:rPr>
          <w:rFonts w:hint="eastAsia" w:ascii="Times New Roman" w:hAnsi="Times New Roman" w:eastAsia="方正仿宋_GB2312" w:cs="宋体"/>
          <w:sz w:val="32"/>
          <w:szCs w:val="32"/>
        </w:rPr>
        <w:t>DB4403/T 72 餐厨垃圾处理企业安全管理要求</w:t>
      </w:r>
    </w:p>
    <w:p w14:paraId="405C07E5">
      <w:pPr>
        <w:keepNext w:val="0"/>
        <w:keepLines w:val="0"/>
        <w:pageBreakBefore w:val="0"/>
        <w:widowControl w:val="0"/>
        <w:numPr>
          <w:ilvl w:val="0"/>
          <w:numId w:val="1"/>
        </w:numPr>
        <w:kinsoku/>
        <w:wordWrap w:val="0"/>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Times New Roman" w:hAnsi="Times New Roman" w:eastAsia="方正仿宋_GB2312" w:cs="宋体"/>
          <w:sz w:val="32"/>
          <w:szCs w:val="32"/>
          <w:lang w:val="en-US" w:eastAsia="zh-CN"/>
        </w:rPr>
      </w:pPr>
      <w:r>
        <w:rPr>
          <w:rFonts w:hint="eastAsia" w:ascii="Times New Roman" w:hAnsi="Times New Roman" w:eastAsia="方正仿宋_GB2312" w:cs="宋体"/>
          <w:sz w:val="32"/>
          <w:szCs w:val="32"/>
          <w:lang w:val="en-US" w:eastAsia="zh-CN"/>
        </w:rPr>
        <w:t>DB36/T 1694 餐厨垃圾集约化养殖黑水虻技术规程</w:t>
      </w:r>
    </w:p>
    <w:sectPr>
      <w:footerReference r:id="rId3" w:type="default"/>
      <w:footerReference r:id="rId4" w:type="even"/>
      <w:pgSz w:w="11906" w:h="16838"/>
      <w:pgMar w:top="2098" w:right="1474" w:bottom="1985" w:left="1588" w:header="851" w:footer="141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DFB1E8D-DFE7-42A0-B689-B3271E73CF1F}"/>
  </w:font>
  <w:font w:name="黑体">
    <w:panose1 w:val="02010609060101010101"/>
    <w:charset w:val="86"/>
    <w:family w:val="auto"/>
    <w:pitch w:val="default"/>
    <w:sig w:usb0="800002BF" w:usb1="38CF7CFA" w:usb2="00000016" w:usb3="00000000" w:csb0="00040001" w:csb1="00000000"/>
    <w:embedRegular r:id="rId2" w:fontKey="{EC7C9955-AF0C-4AEF-B62C-3380B75FE4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05A900D3-6A20-4366-AF32-6E8B5D594AE8}"/>
  </w:font>
  <w:font w:name="楷体_GB2312">
    <w:altName w:val="楷体"/>
    <w:panose1 w:val="02010609030101010101"/>
    <w:charset w:val="86"/>
    <w:family w:val="modern"/>
    <w:pitch w:val="default"/>
    <w:sig w:usb0="00000000" w:usb1="00000000" w:usb2="00000010" w:usb3="00000000" w:csb0="00040000" w:csb1="00000000"/>
    <w:embedRegular r:id="rId4" w:fontKey="{95490DF2-EFF7-4BB5-960F-9415D3AB3A02}"/>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5" w:fontKey="{9FDB6911-E632-49D2-B342-61AE7F3A3D2A}"/>
  </w:font>
  <w:font w:name="仿宋_GB2312">
    <w:altName w:val="仿宋"/>
    <w:panose1 w:val="02010609030101010101"/>
    <w:charset w:val="86"/>
    <w:family w:val="modern"/>
    <w:pitch w:val="default"/>
    <w:sig w:usb0="00000000" w:usb1="00000000" w:usb2="00000010" w:usb3="00000000" w:csb0="00040000" w:csb1="00000000"/>
    <w:embedRegular r:id="rId6" w:fontKey="{6EFB54EF-4D45-47CB-AE09-21F2ECCFFE4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rPr>
      <w:id w:val="1520440388"/>
      <w:docPartObj>
        <w:docPartGallery w:val="autotext"/>
      </w:docPartObj>
    </w:sdtPr>
    <w:sdtEndPr>
      <w:rPr>
        <w:rFonts w:ascii="宋体" w:hAnsi="宋体"/>
        <w:sz w:val="28"/>
      </w:rPr>
    </w:sdtEndPr>
    <w:sdtContent>
      <w:p w14:paraId="6D4E6376">
        <w:pPr>
          <w:pStyle w:val="5"/>
          <w:jc w:val="right"/>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2</w:t>
        </w:r>
        <w:r>
          <w:rPr>
            <w:rFonts w:ascii="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rPr>
      <w:id w:val="890464221"/>
      <w:docPartObj>
        <w:docPartGallery w:val="autotext"/>
      </w:docPartObj>
    </w:sdtPr>
    <w:sdtEndPr>
      <w:rPr>
        <w:rFonts w:ascii="宋体" w:hAnsi="宋体"/>
        <w:sz w:val="28"/>
      </w:rPr>
    </w:sdtEndPr>
    <w:sdtContent>
      <w:p w14:paraId="4B6B1DE5">
        <w:pPr>
          <w:pStyle w:val="5"/>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2</w:t>
        </w:r>
        <w:r>
          <w:rPr>
            <w:rFonts w:ascii="宋体" w:hAnsi="宋体"/>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pPr>
        <w:tabs>
          <w:tab w:val="left" w:pos="420"/>
        </w:tabs>
        <w:wordWrap w:val="0"/>
        <w:autoSpaceDE w:val="0"/>
        <w:autoSpaceDN w:val="0"/>
      </w:pPr>
      <w:rPr>
        <w:rFonts w:hint="default" w:ascii="Times New Roman" w:hAnsi="Times New Roman" w:eastAsia="宋体" w:cs="Times New Roman"/>
        <w:snapToGrid w:val="0"/>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s>
  <w:rsids>
    <w:rsidRoot w:val="00DB0952"/>
    <w:rsid w:val="000048C4"/>
    <w:rsid w:val="00010F73"/>
    <w:rsid w:val="000136B1"/>
    <w:rsid w:val="000153A7"/>
    <w:rsid w:val="00017046"/>
    <w:rsid w:val="00021B89"/>
    <w:rsid w:val="000273A7"/>
    <w:rsid w:val="000315EF"/>
    <w:rsid w:val="00031BD1"/>
    <w:rsid w:val="000332AD"/>
    <w:rsid w:val="000334B7"/>
    <w:rsid w:val="0003450B"/>
    <w:rsid w:val="00040B6E"/>
    <w:rsid w:val="00040CA7"/>
    <w:rsid w:val="000419F7"/>
    <w:rsid w:val="00043DBA"/>
    <w:rsid w:val="0004459C"/>
    <w:rsid w:val="0004650D"/>
    <w:rsid w:val="00052831"/>
    <w:rsid w:val="000560F2"/>
    <w:rsid w:val="00060F6C"/>
    <w:rsid w:val="00062A0C"/>
    <w:rsid w:val="0006627A"/>
    <w:rsid w:val="00066A38"/>
    <w:rsid w:val="000714CF"/>
    <w:rsid w:val="000720B3"/>
    <w:rsid w:val="00074310"/>
    <w:rsid w:val="00077D7B"/>
    <w:rsid w:val="00082202"/>
    <w:rsid w:val="0008483C"/>
    <w:rsid w:val="0009035E"/>
    <w:rsid w:val="000A4E45"/>
    <w:rsid w:val="000A73A9"/>
    <w:rsid w:val="000A7AC5"/>
    <w:rsid w:val="000C05A4"/>
    <w:rsid w:val="000C2640"/>
    <w:rsid w:val="000D4E4D"/>
    <w:rsid w:val="000D780A"/>
    <w:rsid w:val="000E39F5"/>
    <w:rsid w:val="000E4B40"/>
    <w:rsid w:val="000F0D86"/>
    <w:rsid w:val="000F3937"/>
    <w:rsid w:val="000F4994"/>
    <w:rsid w:val="000F55B7"/>
    <w:rsid w:val="000F60A1"/>
    <w:rsid w:val="0010397F"/>
    <w:rsid w:val="00103BCF"/>
    <w:rsid w:val="00103C83"/>
    <w:rsid w:val="00104AF3"/>
    <w:rsid w:val="001055FA"/>
    <w:rsid w:val="00106ACF"/>
    <w:rsid w:val="00111A1F"/>
    <w:rsid w:val="001133E8"/>
    <w:rsid w:val="001222C6"/>
    <w:rsid w:val="00125B5A"/>
    <w:rsid w:val="001376D3"/>
    <w:rsid w:val="00140218"/>
    <w:rsid w:val="00146230"/>
    <w:rsid w:val="00151AE7"/>
    <w:rsid w:val="001528D8"/>
    <w:rsid w:val="00152F03"/>
    <w:rsid w:val="00155C38"/>
    <w:rsid w:val="00156C63"/>
    <w:rsid w:val="00157E64"/>
    <w:rsid w:val="001740EF"/>
    <w:rsid w:val="00175020"/>
    <w:rsid w:val="0018018D"/>
    <w:rsid w:val="00180698"/>
    <w:rsid w:val="001835B8"/>
    <w:rsid w:val="00184CDB"/>
    <w:rsid w:val="001853B4"/>
    <w:rsid w:val="00187B1E"/>
    <w:rsid w:val="00187F62"/>
    <w:rsid w:val="00190FBD"/>
    <w:rsid w:val="001A1F2C"/>
    <w:rsid w:val="001A4D59"/>
    <w:rsid w:val="001A50F3"/>
    <w:rsid w:val="001A7EA9"/>
    <w:rsid w:val="001B4442"/>
    <w:rsid w:val="001B4AB8"/>
    <w:rsid w:val="001B5C1E"/>
    <w:rsid w:val="001C7436"/>
    <w:rsid w:val="001E465A"/>
    <w:rsid w:val="001E6A6C"/>
    <w:rsid w:val="001F7C80"/>
    <w:rsid w:val="00205683"/>
    <w:rsid w:val="002145F5"/>
    <w:rsid w:val="00220E1B"/>
    <w:rsid w:val="002266DE"/>
    <w:rsid w:val="00231524"/>
    <w:rsid w:val="0023199E"/>
    <w:rsid w:val="00233022"/>
    <w:rsid w:val="002347EC"/>
    <w:rsid w:val="00265F2C"/>
    <w:rsid w:val="0027269D"/>
    <w:rsid w:val="0028056F"/>
    <w:rsid w:val="00280FB6"/>
    <w:rsid w:val="00286856"/>
    <w:rsid w:val="00290BEF"/>
    <w:rsid w:val="002929E1"/>
    <w:rsid w:val="002933C1"/>
    <w:rsid w:val="002A3C4E"/>
    <w:rsid w:val="002A4827"/>
    <w:rsid w:val="002A5A92"/>
    <w:rsid w:val="002A63D1"/>
    <w:rsid w:val="002A7714"/>
    <w:rsid w:val="002B7E97"/>
    <w:rsid w:val="002C4372"/>
    <w:rsid w:val="002C5D83"/>
    <w:rsid w:val="002D4BB4"/>
    <w:rsid w:val="002D4D4F"/>
    <w:rsid w:val="002D6B1E"/>
    <w:rsid w:val="002F12E3"/>
    <w:rsid w:val="002F1739"/>
    <w:rsid w:val="002F6F39"/>
    <w:rsid w:val="002F79F9"/>
    <w:rsid w:val="0030353B"/>
    <w:rsid w:val="003108F8"/>
    <w:rsid w:val="003143E9"/>
    <w:rsid w:val="0031670B"/>
    <w:rsid w:val="00316AE6"/>
    <w:rsid w:val="003234B2"/>
    <w:rsid w:val="00331053"/>
    <w:rsid w:val="003330B6"/>
    <w:rsid w:val="00333F33"/>
    <w:rsid w:val="00340741"/>
    <w:rsid w:val="00347C1A"/>
    <w:rsid w:val="00352BE9"/>
    <w:rsid w:val="00354C94"/>
    <w:rsid w:val="00370994"/>
    <w:rsid w:val="003715FC"/>
    <w:rsid w:val="00372F63"/>
    <w:rsid w:val="0037300F"/>
    <w:rsid w:val="00374F37"/>
    <w:rsid w:val="0038221B"/>
    <w:rsid w:val="00382853"/>
    <w:rsid w:val="00384CA1"/>
    <w:rsid w:val="0039014A"/>
    <w:rsid w:val="00390746"/>
    <w:rsid w:val="00392A05"/>
    <w:rsid w:val="003958B8"/>
    <w:rsid w:val="00396267"/>
    <w:rsid w:val="003A078E"/>
    <w:rsid w:val="003A1218"/>
    <w:rsid w:val="003B7C7E"/>
    <w:rsid w:val="003C730C"/>
    <w:rsid w:val="003D44E2"/>
    <w:rsid w:val="003E158D"/>
    <w:rsid w:val="003E167F"/>
    <w:rsid w:val="003E237E"/>
    <w:rsid w:val="003E5AEB"/>
    <w:rsid w:val="003F7E66"/>
    <w:rsid w:val="00401426"/>
    <w:rsid w:val="0040385E"/>
    <w:rsid w:val="00404A54"/>
    <w:rsid w:val="00406F67"/>
    <w:rsid w:val="00407035"/>
    <w:rsid w:val="004076A4"/>
    <w:rsid w:val="004149AF"/>
    <w:rsid w:val="0041536D"/>
    <w:rsid w:val="004268B8"/>
    <w:rsid w:val="0042771B"/>
    <w:rsid w:val="0043166A"/>
    <w:rsid w:val="00432C1F"/>
    <w:rsid w:val="0043447E"/>
    <w:rsid w:val="00445479"/>
    <w:rsid w:val="004543DF"/>
    <w:rsid w:val="0045636E"/>
    <w:rsid w:val="00461582"/>
    <w:rsid w:val="004636BC"/>
    <w:rsid w:val="004702D2"/>
    <w:rsid w:val="00471ED4"/>
    <w:rsid w:val="00475C2E"/>
    <w:rsid w:val="00477B39"/>
    <w:rsid w:val="004840E8"/>
    <w:rsid w:val="004845C0"/>
    <w:rsid w:val="00497824"/>
    <w:rsid w:val="00497C6A"/>
    <w:rsid w:val="004B3B98"/>
    <w:rsid w:val="004B6267"/>
    <w:rsid w:val="004B6589"/>
    <w:rsid w:val="004C0C3A"/>
    <w:rsid w:val="004C139E"/>
    <w:rsid w:val="004C6F57"/>
    <w:rsid w:val="004D7F70"/>
    <w:rsid w:val="004E1C34"/>
    <w:rsid w:val="004F28CC"/>
    <w:rsid w:val="004F68DD"/>
    <w:rsid w:val="004F7F53"/>
    <w:rsid w:val="005006A7"/>
    <w:rsid w:val="00504764"/>
    <w:rsid w:val="0050560C"/>
    <w:rsid w:val="005079C5"/>
    <w:rsid w:val="00511DD5"/>
    <w:rsid w:val="005156C9"/>
    <w:rsid w:val="00520822"/>
    <w:rsid w:val="00523F56"/>
    <w:rsid w:val="005262A3"/>
    <w:rsid w:val="00530B7E"/>
    <w:rsid w:val="0053123C"/>
    <w:rsid w:val="00543FEB"/>
    <w:rsid w:val="005474FD"/>
    <w:rsid w:val="0055024B"/>
    <w:rsid w:val="00553409"/>
    <w:rsid w:val="0055647A"/>
    <w:rsid w:val="00562E3B"/>
    <w:rsid w:val="00573528"/>
    <w:rsid w:val="00574368"/>
    <w:rsid w:val="00575F89"/>
    <w:rsid w:val="005775FB"/>
    <w:rsid w:val="00580C87"/>
    <w:rsid w:val="00585AD3"/>
    <w:rsid w:val="00586B2B"/>
    <w:rsid w:val="00597630"/>
    <w:rsid w:val="005A0E0E"/>
    <w:rsid w:val="005A13A0"/>
    <w:rsid w:val="005A7663"/>
    <w:rsid w:val="005C5A1C"/>
    <w:rsid w:val="005D0017"/>
    <w:rsid w:val="005D08A0"/>
    <w:rsid w:val="005D3FA0"/>
    <w:rsid w:val="005D482D"/>
    <w:rsid w:val="005E039E"/>
    <w:rsid w:val="005E323A"/>
    <w:rsid w:val="005F07CC"/>
    <w:rsid w:val="005F3CDD"/>
    <w:rsid w:val="005F4E89"/>
    <w:rsid w:val="006007F0"/>
    <w:rsid w:val="00607F56"/>
    <w:rsid w:val="00610A8E"/>
    <w:rsid w:val="00610C3C"/>
    <w:rsid w:val="00617B7A"/>
    <w:rsid w:val="00620D54"/>
    <w:rsid w:val="006251C7"/>
    <w:rsid w:val="0063431B"/>
    <w:rsid w:val="00634ABE"/>
    <w:rsid w:val="0064009C"/>
    <w:rsid w:val="006433D6"/>
    <w:rsid w:val="00643F57"/>
    <w:rsid w:val="00644202"/>
    <w:rsid w:val="006468EA"/>
    <w:rsid w:val="0065097B"/>
    <w:rsid w:val="006530F0"/>
    <w:rsid w:val="006532E0"/>
    <w:rsid w:val="00653341"/>
    <w:rsid w:val="00657B22"/>
    <w:rsid w:val="00660F89"/>
    <w:rsid w:val="00662CCC"/>
    <w:rsid w:val="00665C4A"/>
    <w:rsid w:val="0068404D"/>
    <w:rsid w:val="006940CD"/>
    <w:rsid w:val="006970A2"/>
    <w:rsid w:val="006973EA"/>
    <w:rsid w:val="00697405"/>
    <w:rsid w:val="006B5F7F"/>
    <w:rsid w:val="006C169F"/>
    <w:rsid w:val="006C54A1"/>
    <w:rsid w:val="006D55B8"/>
    <w:rsid w:val="006D76F0"/>
    <w:rsid w:val="006E06A1"/>
    <w:rsid w:val="006E1F56"/>
    <w:rsid w:val="006E533E"/>
    <w:rsid w:val="006E5361"/>
    <w:rsid w:val="006F06A5"/>
    <w:rsid w:val="006F09D4"/>
    <w:rsid w:val="006F1094"/>
    <w:rsid w:val="006F2BA6"/>
    <w:rsid w:val="006F32FB"/>
    <w:rsid w:val="006F6C05"/>
    <w:rsid w:val="00700F0A"/>
    <w:rsid w:val="00701057"/>
    <w:rsid w:val="0070143F"/>
    <w:rsid w:val="007056D0"/>
    <w:rsid w:val="00705AFB"/>
    <w:rsid w:val="00713200"/>
    <w:rsid w:val="00724C88"/>
    <w:rsid w:val="007253D7"/>
    <w:rsid w:val="00733015"/>
    <w:rsid w:val="00734F60"/>
    <w:rsid w:val="00742119"/>
    <w:rsid w:val="0074242B"/>
    <w:rsid w:val="0074242C"/>
    <w:rsid w:val="007427CE"/>
    <w:rsid w:val="0074410C"/>
    <w:rsid w:val="00745B45"/>
    <w:rsid w:val="00750983"/>
    <w:rsid w:val="007565C0"/>
    <w:rsid w:val="00760D77"/>
    <w:rsid w:val="00770DD4"/>
    <w:rsid w:val="007753F9"/>
    <w:rsid w:val="0077643C"/>
    <w:rsid w:val="0079052A"/>
    <w:rsid w:val="00791E60"/>
    <w:rsid w:val="007927A1"/>
    <w:rsid w:val="00793AAF"/>
    <w:rsid w:val="007961E8"/>
    <w:rsid w:val="00797B08"/>
    <w:rsid w:val="007A47D7"/>
    <w:rsid w:val="007B1454"/>
    <w:rsid w:val="007B228C"/>
    <w:rsid w:val="007B4601"/>
    <w:rsid w:val="007B5C08"/>
    <w:rsid w:val="007B6029"/>
    <w:rsid w:val="007B6998"/>
    <w:rsid w:val="007B6AB9"/>
    <w:rsid w:val="007C780F"/>
    <w:rsid w:val="007D7310"/>
    <w:rsid w:val="007D73F4"/>
    <w:rsid w:val="007D7F75"/>
    <w:rsid w:val="007E00DB"/>
    <w:rsid w:val="007E0999"/>
    <w:rsid w:val="007E3FFF"/>
    <w:rsid w:val="007E68C9"/>
    <w:rsid w:val="007F0180"/>
    <w:rsid w:val="007F75F9"/>
    <w:rsid w:val="00804E58"/>
    <w:rsid w:val="00805621"/>
    <w:rsid w:val="00806860"/>
    <w:rsid w:val="00806B17"/>
    <w:rsid w:val="00810141"/>
    <w:rsid w:val="00811EAF"/>
    <w:rsid w:val="008146AA"/>
    <w:rsid w:val="0081706D"/>
    <w:rsid w:val="00827955"/>
    <w:rsid w:val="00830CB7"/>
    <w:rsid w:val="008310BD"/>
    <w:rsid w:val="00842725"/>
    <w:rsid w:val="00847154"/>
    <w:rsid w:val="00851BA2"/>
    <w:rsid w:val="00854AD4"/>
    <w:rsid w:val="0085578D"/>
    <w:rsid w:val="00863098"/>
    <w:rsid w:val="0086392B"/>
    <w:rsid w:val="00867EDE"/>
    <w:rsid w:val="00870ABF"/>
    <w:rsid w:val="00871221"/>
    <w:rsid w:val="00871C71"/>
    <w:rsid w:val="00872E5C"/>
    <w:rsid w:val="00875576"/>
    <w:rsid w:val="008834D1"/>
    <w:rsid w:val="0088757F"/>
    <w:rsid w:val="00892F82"/>
    <w:rsid w:val="00895CD3"/>
    <w:rsid w:val="00896381"/>
    <w:rsid w:val="008A043A"/>
    <w:rsid w:val="008A50B5"/>
    <w:rsid w:val="008A5BFF"/>
    <w:rsid w:val="008B068D"/>
    <w:rsid w:val="008B0D2C"/>
    <w:rsid w:val="008B182D"/>
    <w:rsid w:val="008B1B80"/>
    <w:rsid w:val="008B4F5C"/>
    <w:rsid w:val="008B701D"/>
    <w:rsid w:val="008C4C54"/>
    <w:rsid w:val="008D0D24"/>
    <w:rsid w:val="008D0DE5"/>
    <w:rsid w:val="008D156D"/>
    <w:rsid w:val="008D2F42"/>
    <w:rsid w:val="008D3B26"/>
    <w:rsid w:val="008E08D4"/>
    <w:rsid w:val="008E1C90"/>
    <w:rsid w:val="008F0918"/>
    <w:rsid w:val="008F2212"/>
    <w:rsid w:val="008F31BB"/>
    <w:rsid w:val="008F70D0"/>
    <w:rsid w:val="008F7D64"/>
    <w:rsid w:val="00902863"/>
    <w:rsid w:val="00902EF5"/>
    <w:rsid w:val="009067A8"/>
    <w:rsid w:val="00910C14"/>
    <w:rsid w:val="00913627"/>
    <w:rsid w:val="00916E02"/>
    <w:rsid w:val="00920840"/>
    <w:rsid w:val="009226DF"/>
    <w:rsid w:val="0092313C"/>
    <w:rsid w:val="009249C6"/>
    <w:rsid w:val="0092713F"/>
    <w:rsid w:val="0093389E"/>
    <w:rsid w:val="00933D56"/>
    <w:rsid w:val="00936BBC"/>
    <w:rsid w:val="00940113"/>
    <w:rsid w:val="0094511C"/>
    <w:rsid w:val="00950EEB"/>
    <w:rsid w:val="00953E4B"/>
    <w:rsid w:val="0095562E"/>
    <w:rsid w:val="009556DB"/>
    <w:rsid w:val="009557CF"/>
    <w:rsid w:val="00960109"/>
    <w:rsid w:val="00966C97"/>
    <w:rsid w:val="009679BF"/>
    <w:rsid w:val="009743BC"/>
    <w:rsid w:val="009855B0"/>
    <w:rsid w:val="00986489"/>
    <w:rsid w:val="009A0101"/>
    <w:rsid w:val="009A66B1"/>
    <w:rsid w:val="009A7FE9"/>
    <w:rsid w:val="009B5854"/>
    <w:rsid w:val="009D5183"/>
    <w:rsid w:val="009E0AA5"/>
    <w:rsid w:val="009E1690"/>
    <w:rsid w:val="009E1944"/>
    <w:rsid w:val="009E310D"/>
    <w:rsid w:val="009E3C9F"/>
    <w:rsid w:val="009E3D44"/>
    <w:rsid w:val="009E717D"/>
    <w:rsid w:val="009E7378"/>
    <w:rsid w:val="009E7627"/>
    <w:rsid w:val="009F7D44"/>
    <w:rsid w:val="00A05AA2"/>
    <w:rsid w:val="00A05CB6"/>
    <w:rsid w:val="00A06ECC"/>
    <w:rsid w:val="00A072B1"/>
    <w:rsid w:val="00A13661"/>
    <w:rsid w:val="00A13862"/>
    <w:rsid w:val="00A14FC5"/>
    <w:rsid w:val="00A150C0"/>
    <w:rsid w:val="00A27F78"/>
    <w:rsid w:val="00A31024"/>
    <w:rsid w:val="00A32253"/>
    <w:rsid w:val="00A32934"/>
    <w:rsid w:val="00A33130"/>
    <w:rsid w:val="00A33DB1"/>
    <w:rsid w:val="00A34C5C"/>
    <w:rsid w:val="00A37BA1"/>
    <w:rsid w:val="00A4095D"/>
    <w:rsid w:val="00A70921"/>
    <w:rsid w:val="00A7246C"/>
    <w:rsid w:val="00A81CBA"/>
    <w:rsid w:val="00A84FF2"/>
    <w:rsid w:val="00A85956"/>
    <w:rsid w:val="00A964D5"/>
    <w:rsid w:val="00AA7412"/>
    <w:rsid w:val="00AA784A"/>
    <w:rsid w:val="00AB0155"/>
    <w:rsid w:val="00AB3E94"/>
    <w:rsid w:val="00AB50FA"/>
    <w:rsid w:val="00AB6435"/>
    <w:rsid w:val="00AC14AF"/>
    <w:rsid w:val="00AC181A"/>
    <w:rsid w:val="00AC2EF5"/>
    <w:rsid w:val="00AC655D"/>
    <w:rsid w:val="00AC68F5"/>
    <w:rsid w:val="00AC786A"/>
    <w:rsid w:val="00AD1C19"/>
    <w:rsid w:val="00AD2454"/>
    <w:rsid w:val="00AD4E69"/>
    <w:rsid w:val="00AD5C9C"/>
    <w:rsid w:val="00AE1DE5"/>
    <w:rsid w:val="00AE2969"/>
    <w:rsid w:val="00AE3D2A"/>
    <w:rsid w:val="00AE616E"/>
    <w:rsid w:val="00AE6421"/>
    <w:rsid w:val="00AF132A"/>
    <w:rsid w:val="00AF2BA4"/>
    <w:rsid w:val="00AF73DB"/>
    <w:rsid w:val="00AF74F2"/>
    <w:rsid w:val="00B002E5"/>
    <w:rsid w:val="00B0083A"/>
    <w:rsid w:val="00B02310"/>
    <w:rsid w:val="00B04506"/>
    <w:rsid w:val="00B0723A"/>
    <w:rsid w:val="00B077E0"/>
    <w:rsid w:val="00B07EF9"/>
    <w:rsid w:val="00B237D3"/>
    <w:rsid w:val="00B42124"/>
    <w:rsid w:val="00B4308A"/>
    <w:rsid w:val="00B5259A"/>
    <w:rsid w:val="00B55ED5"/>
    <w:rsid w:val="00B57961"/>
    <w:rsid w:val="00B57BE7"/>
    <w:rsid w:val="00B61CA4"/>
    <w:rsid w:val="00B6238C"/>
    <w:rsid w:val="00B6255D"/>
    <w:rsid w:val="00B643D4"/>
    <w:rsid w:val="00B6549A"/>
    <w:rsid w:val="00B70228"/>
    <w:rsid w:val="00B72730"/>
    <w:rsid w:val="00B7570A"/>
    <w:rsid w:val="00B920DB"/>
    <w:rsid w:val="00BA2A48"/>
    <w:rsid w:val="00BB4E98"/>
    <w:rsid w:val="00BB5CDD"/>
    <w:rsid w:val="00BC0204"/>
    <w:rsid w:val="00BC7293"/>
    <w:rsid w:val="00BD33B1"/>
    <w:rsid w:val="00BD3D4F"/>
    <w:rsid w:val="00BD65CC"/>
    <w:rsid w:val="00BE0767"/>
    <w:rsid w:val="00BE14EC"/>
    <w:rsid w:val="00BE1CC9"/>
    <w:rsid w:val="00BE70DC"/>
    <w:rsid w:val="00BF0A32"/>
    <w:rsid w:val="00BF1ECE"/>
    <w:rsid w:val="00BF499E"/>
    <w:rsid w:val="00BF57C0"/>
    <w:rsid w:val="00C0222E"/>
    <w:rsid w:val="00C12F27"/>
    <w:rsid w:val="00C15968"/>
    <w:rsid w:val="00C16AB1"/>
    <w:rsid w:val="00C27542"/>
    <w:rsid w:val="00C310A4"/>
    <w:rsid w:val="00C33EB8"/>
    <w:rsid w:val="00C35AF6"/>
    <w:rsid w:val="00C40792"/>
    <w:rsid w:val="00C4084D"/>
    <w:rsid w:val="00C56D06"/>
    <w:rsid w:val="00C6209F"/>
    <w:rsid w:val="00C625AB"/>
    <w:rsid w:val="00C75643"/>
    <w:rsid w:val="00C81673"/>
    <w:rsid w:val="00C83EA7"/>
    <w:rsid w:val="00C86A0F"/>
    <w:rsid w:val="00C87775"/>
    <w:rsid w:val="00C94346"/>
    <w:rsid w:val="00C978C1"/>
    <w:rsid w:val="00C97E6A"/>
    <w:rsid w:val="00CA0A20"/>
    <w:rsid w:val="00CA1F09"/>
    <w:rsid w:val="00CA472F"/>
    <w:rsid w:val="00CA6B3D"/>
    <w:rsid w:val="00CA6B98"/>
    <w:rsid w:val="00CA6CBB"/>
    <w:rsid w:val="00CA75FB"/>
    <w:rsid w:val="00CB1D45"/>
    <w:rsid w:val="00CB354A"/>
    <w:rsid w:val="00CB4656"/>
    <w:rsid w:val="00CB4AFB"/>
    <w:rsid w:val="00CB62E3"/>
    <w:rsid w:val="00CC0BC5"/>
    <w:rsid w:val="00CC26EA"/>
    <w:rsid w:val="00CC5464"/>
    <w:rsid w:val="00CC7E86"/>
    <w:rsid w:val="00CD1838"/>
    <w:rsid w:val="00CD3F16"/>
    <w:rsid w:val="00CE0B37"/>
    <w:rsid w:val="00CE28B8"/>
    <w:rsid w:val="00CE31FD"/>
    <w:rsid w:val="00CE4529"/>
    <w:rsid w:val="00CE5AD0"/>
    <w:rsid w:val="00CF706D"/>
    <w:rsid w:val="00D01202"/>
    <w:rsid w:val="00D03DA3"/>
    <w:rsid w:val="00D07427"/>
    <w:rsid w:val="00D11F01"/>
    <w:rsid w:val="00D14EE3"/>
    <w:rsid w:val="00D348AA"/>
    <w:rsid w:val="00D46FC3"/>
    <w:rsid w:val="00D50DC9"/>
    <w:rsid w:val="00D56513"/>
    <w:rsid w:val="00D6498E"/>
    <w:rsid w:val="00D708AB"/>
    <w:rsid w:val="00D71CDB"/>
    <w:rsid w:val="00D73EEF"/>
    <w:rsid w:val="00D7724A"/>
    <w:rsid w:val="00D77352"/>
    <w:rsid w:val="00D91450"/>
    <w:rsid w:val="00D9650B"/>
    <w:rsid w:val="00DA2044"/>
    <w:rsid w:val="00DA5513"/>
    <w:rsid w:val="00DB0952"/>
    <w:rsid w:val="00DC0CBE"/>
    <w:rsid w:val="00DC641B"/>
    <w:rsid w:val="00DD0F52"/>
    <w:rsid w:val="00DD6982"/>
    <w:rsid w:val="00DE0314"/>
    <w:rsid w:val="00DE6655"/>
    <w:rsid w:val="00DF50ED"/>
    <w:rsid w:val="00E00087"/>
    <w:rsid w:val="00E035C2"/>
    <w:rsid w:val="00E0719E"/>
    <w:rsid w:val="00E1077F"/>
    <w:rsid w:val="00E14C07"/>
    <w:rsid w:val="00E16E4D"/>
    <w:rsid w:val="00E16EE6"/>
    <w:rsid w:val="00E17B5A"/>
    <w:rsid w:val="00E20AC9"/>
    <w:rsid w:val="00E20BF0"/>
    <w:rsid w:val="00E266D4"/>
    <w:rsid w:val="00E2691C"/>
    <w:rsid w:val="00E34A21"/>
    <w:rsid w:val="00E36AC3"/>
    <w:rsid w:val="00E376D1"/>
    <w:rsid w:val="00E422D2"/>
    <w:rsid w:val="00E42C62"/>
    <w:rsid w:val="00E42DB3"/>
    <w:rsid w:val="00E43C62"/>
    <w:rsid w:val="00E43E36"/>
    <w:rsid w:val="00E447D8"/>
    <w:rsid w:val="00E4572B"/>
    <w:rsid w:val="00E5497F"/>
    <w:rsid w:val="00E56930"/>
    <w:rsid w:val="00E61351"/>
    <w:rsid w:val="00E6276A"/>
    <w:rsid w:val="00E63BA2"/>
    <w:rsid w:val="00E64020"/>
    <w:rsid w:val="00E7111E"/>
    <w:rsid w:val="00E73428"/>
    <w:rsid w:val="00E73E87"/>
    <w:rsid w:val="00E75E88"/>
    <w:rsid w:val="00E775A4"/>
    <w:rsid w:val="00E77C18"/>
    <w:rsid w:val="00E804E5"/>
    <w:rsid w:val="00E80DCF"/>
    <w:rsid w:val="00E83B15"/>
    <w:rsid w:val="00E8612A"/>
    <w:rsid w:val="00E90C32"/>
    <w:rsid w:val="00E96EE7"/>
    <w:rsid w:val="00E97BD3"/>
    <w:rsid w:val="00EC01BC"/>
    <w:rsid w:val="00EC16AC"/>
    <w:rsid w:val="00EC4938"/>
    <w:rsid w:val="00ED18E8"/>
    <w:rsid w:val="00ED3BE4"/>
    <w:rsid w:val="00EE1AA8"/>
    <w:rsid w:val="00EE2E94"/>
    <w:rsid w:val="00EF3D00"/>
    <w:rsid w:val="00EF4D4B"/>
    <w:rsid w:val="00F01121"/>
    <w:rsid w:val="00F01E9F"/>
    <w:rsid w:val="00F05447"/>
    <w:rsid w:val="00F109B3"/>
    <w:rsid w:val="00F10DFC"/>
    <w:rsid w:val="00F14474"/>
    <w:rsid w:val="00F17952"/>
    <w:rsid w:val="00F23562"/>
    <w:rsid w:val="00F348C1"/>
    <w:rsid w:val="00F35881"/>
    <w:rsid w:val="00F36A5A"/>
    <w:rsid w:val="00F41946"/>
    <w:rsid w:val="00F44D27"/>
    <w:rsid w:val="00F45038"/>
    <w:rsid w:val="00F45833"/>
    <w:rsid w:val="00F4620B"/>
    <w:rsid w:val="00F463E7"/>
    <w:rsid w:val="00F546CB"/>
    <w:rsid w:val="00F55178"/>
    <w:rsid w:val="00F669A9"/>
    <w:rsid w:val="00F71F74"/>
    <w:rsid w:val="00F74FA6"/>
    <w:rsid w:val="00F81996"/>
    <w:rsid w:val="00F82E05"/>
    <w:rsid w:val="00F91CFC"/>
    <w:rsid w:val="00F92261"/>
    <w:rsid w:val="00F9644E"/>
    <w:rsid w:val="00F97520"/>
    <w:rsid w:val="00FA0AC2"/>
    <w:rsid w:val="00FA1122"/>
    <w:rsid w:val="00FA27DB"/>
    <w:rsid w:val="00FA64C2"/>
    <w:rsid w:val="00FB04F4"/>
    <w:rsid w:val="00FB0B2E"/>
    <w:rsid w:val="00FC1CE3"/>
    <w:rsid w:val="00FC225F"/>
    <w:rsid w:val="00FC29CF"/>
    <w:rsid w:val="00FD5215"/>
    <w:rsid w:val="00FD617F"/>
    <w:rsid w:val="00FE35EF"/>
    <w:rsid w:val="00FE7C25"/>
    <w:rsid w:val="00FF03CD"/>
    <w:rsid w:val="00FF47F7"/>
    <w:rsid w:val="00FF571E"/>
    <w:rsid w:val="025A6EA2"/>
    <w:rsid w:val="025F4662"/>
    <w:rsid w:val="049A5E25"/>
    <w:rsid w:val="05461B3B"/>
    <w:rsid w:val="063876A4"/>
    <w:rsid w:val="073C1416"/>
    <w:rsid w:val="07574C7D"/>
    <w:rsid w:val="07E31891"/>
    <w:rsid w:val="092871EB"/>
    <w:rsid w:val="0A595E3B"/>
    <w:rsid w:val="10950E90"/>
    <w:rsid w:val="10E87F18"/>
    <w:rsid w:val="12633CFA"/>
    <w:rsid w:val="151937DB"/>
    <w:rsid w:val="195C14A3"/>
    <w:rsid w:val="1A671EFF"/>
    <w:rsid w:val="1B102545"/>
    <w:rsid w:val="1B610FF3"/>
    <w:rsid w:val="1CB447DF"/>
    <w:rsid w:val="1D7A146D"/>
    <w:rsid w:val="1D825911"/>
    <w:rsid w:val="1E901EC7"/>
    <w:rsid w:val="20523600"/>
    <w:rsid w:val="20564E9E"/>
    <w:rsid w:val="21296906"/>
    <w:rsid w:val="21C615AE"/>
    <w:rsid w:val="24651B54"/>
    <w:rsid w:val="273C55E4"/>
    <w:rsid w:val="284E0490"/>
    <w:rsid w:val="2A2658E2"/>
    <w:rsid w:val="2C1650DD"/>
    <w:rsid w:val="2D79041E"/>
    <w:rsid w:val="2DC77C2F"/>
    <w:rsid w:val="2E67471B"/>
    <w:rsid w:val="30E43DCF"/>
    <w:rsid w:val="313B4368"/>
    <w:rsid w:val="31F91B2E"/>
    <w:rsid w:val="34434269"/>
    <w:rsid w:val="34A044E2"/>
    <w:rsid w:val="38A35F7C"/>
    <w:rsid w:val="393D0758"/>
    <w:rsid w:val="3A154A1C"/>
    <w:rsid w:val="3D17266E"/>
    <w:rsid w:val="3D257C7B"/>
    <w:rsid w:val="3EBA58E3"/>
    <w:rsid w:val="416A0352"/>
    <w:rsid w:val="41884C08"/>
    <w:rsid w:val="42B32777"/>
    <w:rsid w:val="4AB04F91"/>
    <w:rsid w:val="4B7324F9"/>
    <w:rsid w:val="4BBF3CB2"/>
    <w:rsid w:val="4D134330"/>
    <w:rsid w:val="4EDB7286"/>
    <w:rsid w:val="4EE31744"/>
    <w:rsid w:val="4F653DD1"/>
    <w:rsid w:val="52C13B4A"/>
    <w:rsid w:val="53AA2830"/>
    <w:rsid w:val="54464D3B"/>
    <w:rsid w:val="55F16B31"/>
    <w:rsid w:val="566A33AF"/>
    <w:rsid w:val="589B18E6"/>
    <w:rsid w:val="58EA611E"/>
    <w:rsid w:val="5CAC7619"/>
    <w:rsid w:val="5F8261E3"/>
    <w:rsid w:val="62435AD4"/>
    <w:rsid w:val="63666773"/>
    <w:rsid w:val="65962C14"/>
    <w:rsid w:val="65EB2226"/>
    <w:rsid w:val="66E30F07"/>
    <w:rsid w:val="688E327E"/>
    <w:rsid w:val="68EC771B"/>
    <w:rsid w:val="6A6C04ED"/>
    <w:rsid w:val="6A962AC7"/>
    <w:rsid w:val="6BA37623"/>
    <w:rsid w:val="6C367D4A"/>
    <w:rsid w:val="6D9979A6"/>
    <w:rsid w:val="6F814F27"/>
    <w:rsid w:val="70BF05E7"/>
    <w:rsid w:val="717E2EDA"/>
    <w:rsid w:val="71F57FBF"/>
    <w:rsid w:val="721D6B97"/>
    <w:rsid w:val="72954837"/>
    <w:rsid w:val="7375558C"/>
    <w:rsid w:val="739C3319"/>
    <w:rsid w:val="744F0B5E"/>
    <w:rsid w:val="7B1E1440"/>
    <w:rsid w:val="7BE73D72"/>
    <w:rsid w:val="7C6106D5"/>
    <w:rsid w:val="7D0C1CE2"/>
    <w:rsid w:val="7E08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szCs w:val="22"/>
    </w:rPr>
  </w:style>
  <w:style w:type="paragraph" w:styleId="3">
    <w:name w:val="Body Text Indent"/>
    <w:basedOn w:val="1"/>
    <w:uiPriority w:val="0"/>
    <w:pPr>
      <w:ind w:firstLine="560" w:firstLineChars="200"/>
    </w:pPr>
    <w:rPr>
      <w:sz w:val="28"/>
    </w:rPr>
  </w:style>
  <w:style w:type="paragraph" w:styleId="4">
    <w:name w:val="Balloon Text"/>
    <w:basedOn w:val="1"/>
    <w:link w:val="13"/>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table" w:styleId="9">
    <w:name w:val="Table Simple 1"/>
    <w:basedOn w:val="8"/>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11">
    <w:name w:val="annotation reference"/>
    <w:qFormat/>
    <w:uiPriority w:val="0"/>
    <w:rPr>
      <w:sz w:val="21"/>
      <w:szCs w:val="21"/>
    </w:rPr>
  </w:style>
  <w:style w:type="character" w:customStyle="1" w:styleId="12">
    <w:name w:val="批注文字 字符"/>
    <w:link w:val="2"/>
    <w:qFormat/>
    <w:uiPriority w:val="0"/>
    <w:rPr>
      <w:kern w:val="2"/>
      <w:sz w:val="21"/>
      <w:szCs w:val="22"/>
    </w:rPr>
  </w:style>
  <w:style w:type="character" w:customStyle="1" w:styleId="13">
    <w:name w:val="批注框文本 字符"/>
    <w:link w:val="4"/>
    <w:qFormat/>
    <w:uiPriority w:val="0"/>
    <w:rPr>
      <w:kern w:val="2"/>
      <w:sz w:val="18"/>
      <w:szCs w:val="18"/>
    </w:rPr>
  </w:style>
  <w:style w:type="character" w:customStyle="1" w:styleId="14">
    <w:name w:val="页脚 字符"/>
    <w:link w:val="5"/>
    <w:qFormat/>
    <w:uiPriority w:val="99"/>
    <w:rPr>
      <w:kern w:val="2"/>
      <w:sz w:val="18"/>
      <w:szCs w:val="18"/>
    </w:rPr>
  </w:style>
  <w:style w:type="character" w:customStyle="1" w:styleId="15">
    <w:name w:val="页眉 字符"/>
    <w:link w:val="6"/>
    <w:qFormat/>
    <w:uiPriority w:val="0"/>
    <w:rPr>
      <w:kern w:val="2"/>
      <w:sz w:val="18"/>
      <w:szCs w:val="18"/>
    </w:rPr>
  </w:style>
  <w:style w:type="character" w:customStyle="1" w:styleId="16">
    <w:name w:val="批注文字 Char1"/>
    <w:qFormat/>
    <w:uiPriority w:val="0"/>
    <w:rPr>
      <w:kern w:val="2"/>
      <w:sz w:val="21"/>
      <w:szCs w:val="24"/>
    </w:rPr>
  </w:style>
  <w:style w:type="paragraph" w:customStyle="1" w:styleId="17">
    <w:name w:val="_Style 14"/>
    <w:unhideWhenUsed/>
    <w:uiPriority w:val="99"/>
    <w:rPr>
      <w:rFonts w:ascii="Times New Roman" w:hAnsi="Times New Roman" w:eastAsia="宋体" w:cs="Times New Roman"/>
      <w:kern w:val="2"/>
      <w:sz w:val="21"/>
      <w:szCs w:val="24"/>
      <w:lang w:val="en-US" w:eastAsia="zh-CN" w:bidi="ar-SA"/>
    </w:rPr>
  </w:style>
  <w:style w:type="paragraph" w:customStyle="1" w:styleId="1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DEEPIN</Company>
  <Pages>9</Pages>
  <Words>3563</Words>
  <Characters>3711</Characters>
  <Lines>10</Lines>
  <Paragraphs>2</Paragraphs>
  <TotalTime>12</TotalTime>
  <ScaleCrop>false</ScaleCrop>
  <LinksUpToDate>false</LinksUpToDate>
  <CharactersWithSpaces>3727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2023-06-30T10:05:00Z</dcterms:created>
  <dc:creator>User</dc:creator>
  <cp:lastModifiedBy>Energy</cp:lastModifiedBy>
  <dcterms:modified xsi:type="dcterms:W3CDTF">2024-12-23T08:06:07Z</dcterms:modified>
  <dc:title>附  录  A</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AFD142485880473F8FABE118602CDE88_13</vt:lpwstr>
  </property>
</Properties>
</file>