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CEDE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4D28B">
                            <w:pPr>
                              <w:wordWrap/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</w:rPr>
                              <w:t>ICS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>67.080.10</w:t>
                            </w:r>
                            <w:r>
                              <w:br w:type="textWrapping"/>
                            </w:r>
                            <w:r>
                              <w:rPr>
                                <w:rFonts w:ascii="Times New Roman" w:hAnsi="Times New Roman" w:eastAsia="黑体" w:cs="Times New Roman"/>
                              </w:rPr>
                              <w:t>CCS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 w:cs="黑体"/>
                              </w:rPr>
                              <w:t>X24</w:t>
                            </w:r>
                            <w: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ICS/CSS/备案号" o:spid="_x0000_s1026" o:spt="202" type="#_x0000_t202" style="position:absolute;left:0pt;margin-left:-0.55pt;margin-top:-2.55pt;height:45.7pt;width:293.75pt;z-index:251659264;mso-width-relative:page;mso-height-relative:page;" filled="f" stroked="f" coordsize="21600,21600" o:gfxdata="UEsDBAoAAAAAAIdO4kAAAAAAAAAAAAAAAAAEAAAAZHJzL1BLAwQUAAAACACHTuJADM7HCdcAAAAI&#10;AQAADwAAAGRycy9kb3ducmV2LnhtbE2PzWrDMBCE74W+g9hCb4nkNjHGsRxoaHIrpWmhPSqWYplY&#10;KyEpf2/f7ak5DcsMs980y4sb2cnENHiUUEwFMIOd1wP2Er4+15MKWMoKtRo9GglXk2DZ3t81qtb+&#10;jB/mtM09oxJMtZJgcw4156mzxqk09cEgeXsfncp0xp7rqM5U7kb+JETJnRqQPlgVzMqa7rA9Ogmb&#10;/TW6H7tCETbh++395XW27oWUjw+FWADL5pL/w/CHT+jQEtPOH1EnNkqYFAUlSeek5M+rcgZsJ6Eq&#10;n4G3Db8d0P4CUEsDBBQAAAAIAIdO4kD6PhVsXgIAAI8EAAAOAAAAZHJzL2Uyb0RvYy54bWytVMFO&#10;GzEQvVfqP1i+l12yEELEBqVBVEioIKVVz8brZS3ZHtd22KUfULj11lMvSD323i8i39GxdwMV9MCh&#10;F2fWM34z8+ZNDg47rciVcF6CKen2Vk6JMBwqaS5L+vHD8ZsJJT4wUzEFRpT0Wnh6OHv96qC1UzGC&#10;BlQlHEEQ46etLWkTgp1mmeeN0MxvgRUGnTU4zQJ+ususcqxFdK2yUZ6PsxZcZR1w4T3eHvVOOiC6&#10;lwBCXUsujoCvtDChR3VCsYAt+UZaT2ep2roWPJzVtReBqJJipyGdmATti3hmswM2vXTMNpIPJbCX&#10;lPCkJ82kwaQPUEcsMLJy8hmUltyBhzpscdBZ30hiBLvYzp9ws2yYFakXpNrbB9L9/4Pl76/OHZEV&#10;KoESwzQOfP39Zv3j1/ruKzlZLLPFcpnd/7xZ393ef/uNBMqgMOa5B4lsrZ8i3tIiYujeQhdBh3uP&#10;l5GfrnY6/mLnBP2jopjs5buUXJd0f5Lv7AwTEV0gHP3FXpGPR+jnGLA7yYv9FJA9AlnnwzsBmkSj&#10;pA4nngbBrk59wOQYugmJeQ0cS6XS1JUhbUnHxW6eHjx48IUy+DC205cdrdBddEMvF1BdY4sOejV5&#10;y48lJj9lPpwzh/JBceGChTM8agWYBAaLkgbcl3/dx3icKnopaVGOJfWfV8wJStSJwXlH7W4Ml4xi&#10;nOdRxZtbs9ILQJXjHLGiZKLbBbUxawf6E+7ePGZCFzMc85U0bMxF6BcDd5eL+TwFoUotC6dmaXmE&#10;7imcrwLUMrEbqen5GBhDnSbSh52Ki/D3d4p6/B+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M&#10;zscJ1wAAAAgBAAAPAAAAAAAAAAEAIAAAACIAAABkcnMvZG93bnJldi54bWxQSwECFAAUAAAACACH&#10;TuJA+j4VbF4CAACPBAAADgAAAAAAAAABACAAAAAm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0mm,0mm,1mm,0mm">
                  <w:txbxContent>
                    <w:p w14:paraId="3D94D28B">
                      <w:pPr>
                        <w:wordWrap/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</w:rPr>
                        <w:t>ICS</w:t>
                      </w:r>
                      <w:r>
                        <w:rPr>
                          <w:rFonts w:hint="eastAsia" w:ascii="Times New Roman" w:hAnsi="Times New Roman" w:eastAsia="黑体" w:cs="Times New Roman"/>
                        </w:rPr>
                        <w:tab/>
                      </w:r>
                      <w:r>
                        <w:rPr>
                          <w:rFonts w:hint="eastAsia" w:ascii="黑体" w:hAnsi="黑体" w:eastAsia="黑体" w:cs="黑体"/>
                        </w:rPr>
                        <w:t>67.080.10</w:t>
                      </w:r>
                      <w:r>
                        <w:br w:type="textWrapping"/>
                      </w:r>
                      <w:r>
                        <w:rPr>
                          <w:rFonts w:ascii="Times New Roman" w:hAnsi="Times New Roman" w:eastAsia="黑体" w:cs="Times New Roman"/>
                        </w:rPr>
                        <w:t>CCS</w:t>
                      </w:r>
                      <w:r>
                        <w:rPr>
                          <w:rFonts w:hint="eastAsia" w:ascii="Times New Roman" w:hAnsi="Times New Roman" w:eastAsia="黑体" w:cs="Times New Roman"/>
                        </w:rPr>
                        <w:tab/>
                      </w:r>
                      <w:r>
                        <w:rPr>
                          <w:rFonts w:hint="eastAsia" w:ascii="黑体" w:hAnsi="黑体" w:eastAsia="黑体" w:cs="黑体"/>
                        </w:rPr>
                        <w:t>X24</w:t>
                      </w:r>
                      <w: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157D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84"/>
                                <w:szCs w:val="84"/>
                              </w:rPr>
                            </w:pPr>
                            <w:r>
                              <w:drawing>
                                <wp:inline distT="0" distB="0" distL="114935" distR="114935">
                                  <wp:extent cx="1028700" cy="466725"/>
                                  <wp:effectExtent l="19050" t="0" r="0" b="0"/>
                                  <wp:docPr id="2000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060" cy="466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112"/>
                                <w:szCs w:val="11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代码" o:spid="_x0000_s1026" o:spt="202" type="#_x0000_t202" style="position:absolute;left:0pt;margin-left:95.65pt;margin-top:4.1pt;height:69.5pt;width:356.2pt;z-index:251660288;mso-width-relative:page;mso-height-relative:page;" filled="f" stroked="f" coordsize="21600,21600" o:gfxdata="UEsDBAoAAAAAAIdO4kAAAAAAAAAAAAAAAAAEAAAAZHJzL1BLAwQUAAAACACHTuJASPaX8dcAAAAJ&#10;AQAADwAAAGRycy9kb3ducmV2LnhtbE2Py07DMBBF90j8gzVI7KidFNE2xOmCx45nAQl2TjwkEfE4&#10;sp20/D3DCpZX5+rOmXJ7cIOYMcTek4ZsoUAgNd721Gp4fbk9W4OIyZA1gyfU8I0RttXxUWkK6/f0&#10;jPMutYJHKBZGQ5fSWEgZmw6diQs/IjH79MGZxDG00gaz53E3yFypC+lMT3yhMyNeddh87SanYXiP&#10;4a5W6WO+bu/T06Oc3m6yB61PTzJ1CSLhIf2V4Vef1aFip9pPZKMYOG+yJVc1rHMQzDdquQJRMzhf&#10;5SCrUv7/oPoBUEsDBBQAAAAIAIdO4kB4DIBJSgIAAHYEAAAOAAAAZHJzL2Uyb0RvYy54bWytVM1u&#10;EzEQviPxDpbvZNO0DVHUTRUaBSFVtFJBnB2vt2vJf9hOdsONS/sGnDgUceUNeB0Ir8Hn3aQthUMP&#10;XJxvZ+xvZr6ZydFxoxVZCR+kNTnd6/UpEYbbQprLnL59M382oiREZgqmrBE5XYtAjydPnxzVbiwG&#10;trKqEJ6AxIRx7XJaxejGWRZ4JTQLPeuEgbO0XrOIT3+ZFZ7VYNcqG/T7w6y2vnDechECrLPOSbeM&#10;/jGEtiwlFzPLl1qY2LF6oVhESaGSLtBJm21ZCh7PyjKISFROUWlsTwQBXqQzmxyx8aVnrpJ8mwJ7&#10;TAoPatJMGgS9pZqxyMjSy7+otOTeBlvGHrc66wppFUEVe/0H2lxUzIm2Fkgd3K3o4f/R8terc09k&#10;kdMBJYZpNHzz6Xrz+dvmyxXZ3Fz/vL768f3rr5uP0E5Gldz3jZCvdmEMlgsHnti8sA2GKsma7AHG&#10;pEpTep1+US+BH+Kvb8UXTSQcxoPDwf7zA7g4fKPRYHjYdie7e+18iC+F1SSBnHo0t9WcrU5DRERc&#10;3V1JwYydS6XaBitD6pwO90H5hwcvlMHDu1wTis2i2RawsMUadXnbDU5wfC4R/JSFeM48JgX5Ypfi&#10;GY5SWQSxW0RJZf2Hf9nTfTQQXkpqTF5Ow/sl84IS9cqgtaCMO+B3YLEDZqlPLIZ5D1vqeAvxwEe1&#10;g6W3+h1WbJqiwMUMR6ycxh08id38Y0W5mE7bSxhGx+KpuXA8UXciTZfRlrJVNsnSabFVC+PYCr5d&#10;nTTv97/bW3d/F5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PaX8dcAAAAJAQAADwAAAAAAAAAB&#10;ACAAAAAiAAAAZHJzL2Rvd25yZXYueG1sUEsBAhQAFAAAAAgAh07iQHgMgElKAgAAdgQAAA4AAAAA&#10;AAAAAQAgAAAAJ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5EE157D5">
                      <w:pPr>
                        <w:jc w:val="right"/>
                        <w:rPr>
                          <w:rFonts w:ascii="Times New Roman" w:hAnsi="Times New Roman" w:cs="Times New Roman"/>
                          <w:sz w:val="84"/>
                          <w:szCs w:val="84"/>
                        </w:rPr>
                      </w:pPr>
                      <w:r>
                        <w:drawing>
                          <wp:inline distT="0" distB="0" distL="114935" distR="114935">
                            <wp:extent cx="1028700" cy="466725"/>
                            <wp:effectExtent l="19050" t="0" r="0" b="0"/>
                            <wp:docPr id="2000" name="图标 2000" descr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" name="图标 2000" descr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060" cy="466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112"/>
                          <w:szCs w:val="11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F5654">
                            <w:pPr>
                              <w:wordWrap/>
                              <w:adjustRightInd w:val="0"/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1"/>
                                <w:szCs w:val="51"/>
                              </w:rPr>
                              <w:t>广东省地方标准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抬头" o:spid="_x0000_s1026" o:spt="202" type="#_x0000_t202" style="position:absolute;left:0pt;margin-left:-5.6pt;margin-top:75.85pt;height:51.85pt;width:489.5pt;z-index:251661312;v-text-anchor:middle;mso-width-relative:page;mso-height-relative:page;" filled="f" stroked="f" coordsize="21600,21600" o:gfxdata="UEsDBAoAAAAAAIdO4kAAAAAAAAAAAAAAAAAEAAAAZHJzL1BLAwQUAAAACACHTuJA6SD8XtoAAAAL&#10;AQAADwAAAGRycy9kb3ducmV2LnhtbE2PQU7DMBBF90jcwRokdq3jiLQQ4nSBRClIINFyADeZxmni&#10;cRS7abk9wwqWo//05/1idXG9mHAMrScNap6AQKp83VKj4Wv3PLsHEaKh2vSeUMM3BliV11eFyWt/&#10;pk+ctrERXEIhNxpsjEMuZagsOhPmfkDi7OBHZyKfYyPr0Zy53PUyTZKFdKYl/mDNgE8Wq257chrW&#10;7UHtPqauGWz3+rJ+27wfN8eo9e2NSh5BRLzEPxh+9VkdSnba+xPVQfQaZkqljHKQqSUIJh4WSx6z&#10;15Bm2R3IspD/N5Q/UEsDBBQAAAAIAIdO4kDqY252SgIAAHgEAAAOAAAAZHJzL2Uyb0RvYy54bWyt&#10;VM1uEzEQviPxDpbvdJOURiXKpgqNipAqWikgzo7Xm7XkP2ynu+UBWokH4MQBJI498krNc/B5Nz+l&#10;cOiBi3c8M/5m5puZHZ80WpEr4YO0Jqf9gx4lwnBbSLPM6Yf3Zy+OKQmRmYIpa0ROr0WgJ5Pnz8a1&#10;G4mBrawqhCcAMWFUu5xWMbpRlgVeCc3CgXXCwFhar1nE1S+zwrMa6Fplg15vmNXWF85bLkKAdtYZ&#10;6QbRPwXQlqXkYmb5SgsTO1QvFIsoKVTSBTppsy1LweNFWQYRicopKo3tiSCQF+nMJmM2WnrmKsk3&#10;KbCnpPCoJs2kQdAd1IxFRlZe/gWlJfc22DIecKuzrpCWEVTR7z3iZl4xJ9paQHVwO9LD/4Pl764u&#10;PZFFTg8pMUyj4euvt+tvd+sfN2T9/fb+9mb95e7+5y9wJ6NK5odK0Fe7MALK3AEnNq9tg6FKtCZ9&#10;gDKx0pRepy/qJbCD/Osd+aKJhEM5HPSHwyOYOGzDo+OXr44STLZ/7XyIb4TVJAk59Whuyzm7Og+x&#10;c926pGDGnkmloGcjZUgN0EPA/2EBuDKIsc81SbFZNJsCFra4Rl3edoMTHD+TCH7OQrxkHpOCfLFL&#10;8QJHqSyC2I1ESWX953/pkz8aCCslNSYvp+HTinlBiXpr0FpAxq3gt8JiK5iVPrUY5j621PFWxAMf&#10;1VYsvdUfsWLTFAUmZjhi5ZRHv72cxm4DsKRcTKetG8bRsXhu5o4n8I6m6SraUrbcJmI6NjZ8YSDb&#10;7myWJ038w3vrtf9h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SD8XtoAAAALAQAADwAAAAAA&#10;AAABACAAAAAiAAAAZHJzL2Rvd25yZXYueG1sUEsBAhQAFAAAAAgAh07iQOpjbnZKAgAAeA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677F5654">
                      <w:pPr>
                        <w:wordWrap/>
                        <w:adjustRightInd w:val="0"/>
                        <w:snapToGrid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1"/>
                          <w:szCs w:val="51"/>
                        </w:rPr>
                        <w:t>广东省地方标准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A9E60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DB44/T ****—202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编号" o:spid="_x0000_s1026" o:spt="202" type="#_x0000_t202" style="position:absolute;left:0pt;margin-left:-0.25pt;margin-top:135.5pt;height:21.9pt;width:470.55pt;z-index:251662336;v-text-anchor:middle;mso-width-relative:page;mso-height-relative:page;" filled="f" stroked="f" coordsize="21600,21600" o:gfxdata="UEsDBAoAAAAAAIdO4kAAAAAAAAAAAAAAAAAEAAAAZHJzL1BLAwQUAAAACACHTuJAKQkuHdwAAAAJ&#10;AQAADwAAAGRycy9kb3ducmV2LnhtbE2PzU7DMBCE70i8g7VIXKrWSVtKCNlUIqWHSkhAQeLqxksS&#10;NV5HtvsDT485wXE0o5lviuXZ9OJIzneWEdJJAoK4trrjBuH9bT3OQPigWKveMiF8kYdleXlRqFzb&#10;E7/ScRsaEUvY5wqhDWHIpfR1S0b5iR2Io/dpnVEhStdI7dQplpteTpNkIY3qOC60aqCqpXq/PRiE&#10;h9HqUX6MVm798vS8qdx3Xc32GeL1VZrcgwh0Dn9h+MWP6FBGpp09sPaiRxjfxCDC9DaNl6J/N08W&#10;IHYIs3SegSwL+f9B+QNQSwMEFAAAAAgAh07iQO4cWZhUAgAAgAQAAA4AAABkcnMvZTJvRG9jLnht&#10;bK1UzW4TMRC+I/EOlu9kNy3pT9RNFVoVIUW0UkCcHa+3a8n2GNvJbniA9thbTxzgzp0Lr9PwGoy9&#10;+akKhx64bMYz42/8fTOTk9NWK7IQzkswBe33ckqE4VBKc13Qjx8uXh1R4gMzJVNgREGXwtPT0csX&#10;J40dij2oQZXCEQQxftjYgtYh2GGWeV4LzXwPrDAYrMBpFvDorrPSsQbRtcr28vwga8CV1gEX3qP3&#10;vAvSNaJ7DiBUleTiHPhcCxM6VCcUC0jJ19J6OkqvrSrBw2VVeRGIKigyDemLRdCexW82OmHDa8ds&#10;Lfn6Cew5T3jCSTNpsOgW6pwFRuZO/gWlJXfgoQo9DjrriCRFkEU/f6LNtGZWJC4otbdb0f3/g+Xv&#10;F1eOyLKgrykxTGPDV/e3q68/Vt9vyOrb7cPtze9f9w93P1E7GVQMP3aifI31Q0SZWsQJ7Rtocaii&#10;rNHv0RlVaSun4y/yJRhH8Zdb8UUbCEfn4PhwcHw0oIRjbO/wqL+fupPtblvnw1sBmkSjoA6bmzRn&#10;i4kPWBFTNymxmIELqVRqsDKkKejB/iBPF7YRvKEMXty9NVqhnbVrAjMol8jLQTc43vILicUnzIcr&#10;5nBSkAruUrjET6UAi8DaoqQG9+Vf/piPDcQoJQ1OXkH95zlzghL1zmBr9w/yPI5qOqDhHntnG6+Z&#10;6zPAoe7jtlqezJgb1MasHOhPuGrjWA1DzHCsWVAe3OZwFrpNwGXlYjxOaTiWloWJmVoewTshx/MA&#10;lUwaR4E6Vda64WAm6ddLFCf/8Tll7f44R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QkuHdwA&#10;AAAJAQAADwAAAAAAAAABACAAAAAiAAAAZHJzL2Rvd25yZXYueG1sUEsBAhQAFAAAAAgAh07iQO4c&#10;WZhUAgAAgAQAAA4AAAAAAAAAAQAgAAAAKw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2D4A9E60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DB44/T ****—202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330EE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代替标准编号" o:spid="_x0000_s1026" o:spt="202" type="#_x0000_t202" style="position:absolute;left:0pt;margin-left:0.15pt;margin-top:154pt;height:21.9pt;width:473.05pt;z-index:251663360;v-text-anchor:middle;mso-width-relative:page;mso-height-relative:page;" filled="f" stroked="f" coordsize="21600,21600" o:gfxdata="UEsDBAoAAAAAAIdO4kAAAAAAAAAAAAAAAAAEAAAAZHJzL1BLAwQUAAAACACHTuJA+r/L8toAAAAI&#10;AQAADwAAAGRycy9kb3ducmV2LnhtbE2PT0vDQBDF74LfYRnBS7G7sbXEmE3B1B4EQa2C1212TEKz&#10;s2F3+0c/veNJLwMz7/Hm98rlyQ3igCH2njRkUwUCqfG2p1bD+9v6KgcRkyFrBk+o4QsjLKvzs9IU&#10;1h/pFQ+b1AoOoVgYDV1KYyFlbDp0Jk79iMTapw/OJF5DK20wRw53g7xWaiGd6Yk/dGbEusNmt9k7&#10;DfeT1YP8mKzC+uXp+bEO30092+VaX15k6g5EwlP6M8MvPqNDxUxbvycbxaBhxj6eKudGLN/OF3MQ&#10;W77cZDnIqpT/C1Q/UEsDBBQAAAAIAIdO4kC8Y30iWwIAAIwEAAAOAAAAZHJzL2Uyb0RvYy54bWyt&#10;VL1uFDEQ7pF4B8s92b2c8qNT9qIjURBSRCIdiNrn9WYteW1j+7IbHiAp6dJAAaKlpwCJlyHHa/DZ&#10;e3eJQooUNN7xzPibmW9mdm+/axQ5F85Lows62MgpEZqbUuqzgr55ffRslxIfmC6ZMloU9EJ4uj9+&#10;+mSvtSOxaWqjSuEIQLQftbagdQh2lGWe16JhfsNYoWGsjGtYwNWdZaVjLdAblW3m+XbWGldaZ7jw&#10;HtrD3kiXiO4xgKaqJBeHhs8boUOP6oRiASX5WlpPxynbqhI8nFSVF4GogqLSkE4EgTyLZzbeY6Mz&#10;x2wt+TIF9pgU7tXUMKkRdA11yAIjcyf/gWokd8abKmxw02R9IYkRVDHI73EzrZkVqRZQ7e2adP//&#10;YPmr81NHZFnQLUo0a9DwxfXV4tO3xZdL8vvH18XHX4vPVzdXl39+Xt98+A4GZVBwesAEKlvrR0Cc&#10;WmCG7rnpMGCR4qj3UEaGuso18YvaCexoxMW6EaILhEO5nec7O0NkxGHb3NkdDFOnstvX1vnwQpiG&#10;RKGgDo1O/LPzYx8QEa4rlxhMmyOpVGq20qRFhOFWnh6sLXihNB7e5hql0M26ZQEzU16gLmf6IfKW&#10;H0kEP2Y+nDKHqUEp2KtwgqNSBkHMUqKkNu79Q/roj2bCSkmLKSyofzdnTlCiXmq0eQgm4timCwR3&#10;VztbafW8OTAY8AE21/IkRt+gVmLlTPMWazeJ0WBimiNmQXlwq8tB6LcCi8vFZJLcMKKWhWM9tTyC&#10;90RO5sFUMnEcCepZWfKGIU3ULxcqbsHde/K6/YmM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6&#10;v8vy2gAAAAgBAAAPAAAAAAAAAAEAIAAAACIAAABkcnMvZG93bnJldi54bWxQSwECFAAUAAAACACH&#10;TuJAvGN9IlsCAACMBAAADgAAAAAAAAABACAAAAAp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024330EE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上横线" o:spid="_x0000_s1026" o:spt="20" style="position:absolute;left:0pt;margin-left:0.1pt;margin-top:184.65pt;height:0pt;width:482.25pt;z-index:251668480;mso-width-relative:page;mso-height-relative:page;" filled="f" stroked="t" coordsize="21600,21600" o:gfxdata="UEsDBAoAAAAAAIdO4kAAAAAAAAAAAAAAAAAEAAAAZHJzL1BLAwQUAAAACACHTuJA/jnUmtYAAAAI&#10;AQAADwAAAGRycy9kb3ducmV2LnhtbE2PwU7DMAyG70i8Q2QkbizdhtqtNN0BiQMSElA4cMwar+mW&#10;OCXJ2vL2BAkJjvb/6/Pnajdbw0b0oXckYLnIgCG1TvXUCXh/e7jZAAtRkpLGEQr4wgC7+vKikqVy&#10;E73i2MSOJQiFUgrQMQ4l56HVaGVYuAEpZQfnrYxp9B1XXk4Jbg1fZVnOrewpXdBywHuN7ak520Sh&#10;4vMwG//x8vykN810xMexQCGur5bZHbCIc/wrw49+Uoc6Oe3dmVRgRsAq9QSs8+0aWIq3+W0BbP+7&#10;4XXF/z9QfwNQSwMEFAAAAAgAh07iQKrBLxLoAQAAtQMAAA4AAABkcnMvZTJvRG9jLnhtbK1TS27b&#10;MBDdF+gdCO5rWW4cx4LlLGKkm6I10PYANEVJBPjDDGPZV+hJip6g6KaXKZprdEi5+W6yqBbUcGb4&#10;Zt7jcHV5sIbtFaD2rublZMqZctI32nU1//L5+s0FZxiFa4TxTtX8qJBfrl+/Wg2hUjPfe9MoYATi&#10;sBpCzfsYQ1UUKHtlBU58UI6CrQcrIm2hKxoQA6FbU8ym0/Ni8NAE8FIhknczBvkJEV4C6NtWS7Xx&#10;8sYqF0dUUEZEooS9DsjXudu2VTJ+bFtUkZmaE9OYVypC9i6txXolqg5E6LU8tSBe0sITTlZoR0Xv&#10;oDYiCnYD+hmU1RI8+jZOpLfFSCQrQizK6RNtPvUiqMyFpMZwJzr+P1j5Yb8FphuaBJLECUs3/vvH&#10;1z/fvt/+/JXUGQJWlHTltnDaYdhConpowaY/kWCHmi8Xy3JBGMeaz5ZlebaYj+KqQ2SS4ufl7GxO&#10;TiYpIwtf3GMEwPhOecuSUXOjXeItKrF/j5HqUuq/lOR2/lobk+/OODYQ+Ns5lZaC5rGlOSDTBuKE&#10;ruNMmI4GXUbIiOiNbtLphIPQ7a4MsL1I45G/1DRVe5SWSm8E9mNeDo3crI70Foy2Nb94eNo4AknK&#10;jVola+ebY5Yw++k2c5nT5KVxebjPp+9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jnUmtYA&#10;AAAIAQAADwAAAAAAAAABACAAAAAiAAAAZHJzL2Rvd25yZXYueG1sUEsBAhQAFAAAAAgAh07iQKrB&#10;LxLoAQAAtQ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8D829">
                            <w:pPr>
                              <w:wordWrap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55"/>
                                <w:szCs w:val="55"/>
                              </w:rPr>
                              <w:t>余甘子及其制品</w:t>
                            </w:r>
                          </w:p>
                          <w:p w14:paraId="11A98B1E">
                            <w:pPr>
                              <w:wordWrap/>
                              <w:adjustRightInd w:val="0"/>
                              <w:snapToGrid w:val="0"/>
                              <w:spacing w:before="37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8"/>
                              </w:rPr>
                              <w:t>Emblic myrobalon and their products</w:t>
                            </w:r>
                          </w:p>
                          <w:p w14:paraId="304AB8CB">
                            <w:pPr>
                              <w:spacing w:before="64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DA014BE">
                            <w:pPr>
                              <w:spacing w:before="500" w:after="240" w:line="4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lang w:val="en-US" w:eastAsia="zh-CN"/>
                              </w:rPr>
                              <w:t>征求意见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稿</w:t>
                            </w:r>
                            <w:r>
                              <w:br w:type="textWrapping"/>
                            </w:r>
                          </w:p>
                          <w:p w14:paraId="4148A46D">
                            <w:pPr>
                              <w:spacing w:before="567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名称" o:spid="_x0000_s1026" o:spt="202" type="#_x0000_t202" style="position:absolute;left:0pt;margin-left:-0.55pt;margin-top:292.05pt;height:330.65pt;width:483.25pt;z-index:251664384;mso-width-relative:page;mso-height-relative:page;" filled="f" stroked="f" coordsize="21600,21600" o:gfxdata="UEsDBAoAAAAAAIdO4kAAAAAAAAAAAAAAAAAEAAAAZHJzL1BLAwQUAAAACACHTuJAj7kAEdgAAAAL&#10;AQAADwAAAGRycy9kb3ducmV2LnhtbE2PTU/DMAyG70j8h8hI3La0o6u20nQHpN4AiYI4p43XFhqn&#10;SrIP9usxJ3Z7LT96/bjcne0kjujD6EhBukxAIHXOjNQr+HivFxsQIWoyenKECn4wwK66vSl1YdyJ&#10;3vDYxF5wCYVCKxhinAspQzeg1WHpZiTe7Z23OvLoe2m8PnG5neQqSXJp9Uh8YdAzPg3YfTcHq+Dl&#10;1T9f9nk9TqHddnX7eYkPzZdS93dp8ggi4jn+w/Cnz+pQsVPrDmSCmBQs0pRJBetNxoGBbb7OQLRM&#10;rjJOsirl9Q/VL1BLAwQUAAAACACHTuJALMVCkFMCAAB/BAAADgAAAGRycy9lMm9Eb2MueG1srVS9&#10;bhQxEO6ReAfLPdm9C3chp+xFR6IgpIhECoja5/VmLdkeY89lNzxAUiFRUVFARUPBS+V4Dca79xMF&#10;ihQ0vvHM7Df+vpm5g8PWGnalQtTgCj7YyTlTTkKp3WXB3709efaCs4jClcKAUwW/VpEfTp8+OWj8&#10;RA2hBlOqwAjExUnjC14j+kmWRVkrK+IOeOUoWEGwAukaLrMyiIbQrcmGeT7OGgilDyBVjOQ97oN8&#10;hRgeAwhVpaU6BrmwymGPGpQRSJRirX3k0+61VaUknlVVVMhMwYkpdicVIXuezmx6ICaXQfhay9UT&#10;xGOe8ICTFdpR0Q3UsUDBFkH/BWW1DBChwh0JNuuJdIoQi0H+QJuLWnjVcSGpo9+IHv8frHxzdR6Y&#10;Lgs+5swJSw1ffrldfv25/H7Dlt9u725v7j5/+v3jF2mn0aTwfSfJ1/g4IZQLTzjYvoSWhirJmvyR&#10;nEmVtgo2/RJfRnES/3ojvmqRSXKOB7t7w70RZ5Jizwf7+8PRKOFk2899iPhKgWXJKHig7naii6vT&#10;iH3qOiVVc3CijSG/mBjHGiqxO8q7DzYRAjeOamwfmyxs5+2KwRzKayIWoJ+c6OWJpuKnIuK5CDQq&#10;xIWWCc/oqAxQEVhZnNUQPv7Ln/KpgxTlrKHRK3j8sBBBcWZeO+rt7jjPCRa7Cxnhvne+9rqFPQKa&#10;6gGtq5edmXLRrM0qgH1PuzZL1SgknKSaBce1eYT9ItCuSjWbdUk0lV7gqbvwMkH3Ms4WCJXuFE7y&#10;9JqsVKO57Hq02qE0+PfvXdb2f2P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+5ABHYAAAACwEA&#10;AA8AAAAAAAAAAQAgAAAAIgAAAGRycy9kb3ducmV2LnhtbFBLAQIUABQAAAAIAIdO4kAsxUKQUwIA&#10;AH8EAAAOAAAAAAAAAAEAIAAAACc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5B98D829">
                      <w:pPr>
                        <w:wordWrap/>
                        <w:adjustRightInd w:val="0"/>
                        <w:snapToGrid w:val="0"/>
                        <w:spacing w:line="680" w:lineRule="exact"/>
                        <w:jc w:val="center"/>
                        <w:rPr>
                          <w:rFonts w:hint="eastAsia" w:ascii="黑体" w:hAnsi="黑体" w:eastAsia="黑体" w:cs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55"/>
                          <w:szCs w:val="55"/>
                        </w:rPr>
                        <w:t>余甘子及其制品</w:t>
                      </w:r>
                    </w:p>
                    <w:p w14:paraId="11A98B1E">
                      <w:pPr>
                        <w:wordWrap/>
                        <w:adjustRightInd w:val="0"/>
                        <w:snapToGrid w:val="0"/>
                        <w:spacing w:before="37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8"/>
                        </w:rPr>
                        <w:t>Emblic myrobalon and their products</w:t>
                      </w:r>
                    </w:p>
                    <w:p w14:paraId="304AB8CB">
                      <w:pPr>
                        <w:spacing w:before="64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DA014BE">
                      <w:pPr>
                        <w:spacing w:before="500" w:after="240" w:line="400" w:lineRule="exact"/>
                        <w:jc w:val="center"/>
                        <w:rPr>
                          <w:rFonts w:hint="eastAsia"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lang w:val="en-US" w:eastAsia="zh-CN"/>
                        </w:rPr>
                        <w:t>征求意见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稿</w:t>
                      </w:r>
                      <w:r>
                        <w:br w:type="textWrapping"/>
                      </w:r>
                    </w:p>
                    <w:p w14:paraId="4148A46D">
                      <w:pPr>
                        <w:spacing w:before="567"/>
                        <w:jc w:val="center"/>
                        <w:rPr>
                          <w:rFonts w:hint="eastAsia" w:ascii="宋体" w:hAnsi="宋体" w:eastAsia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下横线" o:spid="_x0000_s1026" o:spt="20" style="position:absolute;left:0pt;margin-left:-0.6pt;margin-top:699.05pt;height:0pt;width:483.15pt;z-index:251669504;mso-width-relative:page;mso-height-relative:page;" filled="f" stroked="t" coordsize="21600,21600" o:gfxdata="UEsDBAoAAAAAAIdO4kAAAAAAAAAAAAAAAAAEAAAAZHJzL1BLAwQUAAAACACHTuJArcgFD9kAAAAM&#10;AQAADwAAAGRycy9kb3ducmV2LnhtbE2PQU/DMAyF70j8h8hI3La0K4ytNJ0QaOLAaWMCjllj2mqN&#10;UyVZV/j1eAcEN/u9p+fPxWq0nRjQh9aRgnSagECqnGmpVrB7XU8WIELUZHTnCBV8YYBVeXlR6Ny4&#10;E21w2MZacAmFXCtoYuxzKUPVoNVh6nok9j6dtzry6mtpvD5xue3kLEnm0uqW+EKje3xssDpsj1bB&#10;28PdIRufn27WcbP78G7IXvD7XanrqzS5BxFxjH9hOOMzOpTMtHdHMkF0CibpjJOsZ8tFCoITy/kt&#10;D/tfSZaF/P9E+QNQSwMEFAAAAAgAh07iQPkSmtncAQAAqwMAAA4AAABkcnMvZTJvRG9jLnhtbK1T&#10;zW4TMRC+I/EOlu9kN6kI1SqbHhqVC4JIwANMvPauJf/J42aTZ+BFEE+AuPAyCF6DsTdNS7n00D14&#10;x/bMN/N9M15dHaxhexlRe9fy+azmTDrhO+36ln/+dPPqkjNM4Dow3smWHyXyq/XLF6sxNHLhB286&#10;GRmBOGzG0PIhpdBUFYpBWsCZD9LRpfLRQqJt7Ksuwkjo1lSLul5Wo49diF5IRDrdTJf8hBifAuiV&#10;0kJuvLi10qUJNUoDiSjhoAPydalWKSnSB6VQJmZaTkxTWSkJ2bu8VusVNH2EMGhxKgGeUsIjTha0&#10;o6RnqA0kYLdR/wdltYgevUoz4W01ESmKEIt5/UibjwMEWbiQ1BjOouPzwYr3+21kuqNJmHPmwFLH&#10;f33/8vvrtz8/fmZ1xoANOV27bTztMGxjpnpQ0eY/kWCHoujxrKg8JCbocDm/WNb1a87E3V11Hxgi&#10;prfSW5aNlhvtMlloYP8OEyUj1zuXfOz8jTamNMw4NlLFizc19VEATaGi7pNpAzFB13MGpqfxFikW&#10;SPRGdzk8A2Hsd9cmsj3koShfZkrp/nHLuTeAw+RXrqZxsTrRCzDatvzyYbRxBJL1mhTK1s53xyJc&#10;OaceljSnectD8nBfou/f2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cgFD9kAAAAMAQAADwAA&#10;AAAAAAABACAAAAAiAAAAZHJzL2Rvd25yZXYueG1sUEsBAhQAFAAAAAgAh07iQPkSmtncAQAAqwMA&#10;AA4AAAAAAAAAAQAgAAAAK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79B">
                            <w:pPr>
                              <w:wordWrap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XXXX-XX-XX 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日期" o:spid="_x0000_s1026" o:spt="202" type="#_x0000_t202" style="position:absolute;left:0pt;margin-left:-2.25pt;margin-top:674.5pt;height:28.35pt;width:205.8pt;z-index:251665408;v-text-anchor:middle;mso-width-relative:page;mso-height-relative:page;" filled="f" stroked="f" coordsize="21600,21600" o:gfxdata="UEsDBAoAAAAAAIdO4kAAAAAAAAAAAAAAAAAEAAAAZHJzL1BLAwQUAAAACACHTuJAtQ028d0AAAAM&#10;AQAADwAAAGRycy9kb3ducmV2LnhtbE2Py07DMBBF90j8gzVIbKrWDk1pCXEqkdJFJSSgILF1kyGJ&#10;Go8j233A1zOsYDl3ju4jX55tL47oQ+dIQzJRIJAqV3fUaHh/W48XIEI0VJveEWr4wgDL4vIiN1nt&#10;TvSKx21sBJtQyIyGNsYhkzJULVoTJm5A4t+n89ZEPn0ja29ObG57eaPUrbSmI05ozYBli9V+e7Aa&#10;HkarR/kxWvn1y9PzpvTfVTndL7S+vkrUPYiI5/gHw299rg4Fd9q5A9VB9BrG6YxJ1qfpHY9iIlXz&#10;BMSOpVTN5iCLXP4fUfwAUEsDBBQAAAAIAIdO4kC4L8RjUQIAAIAEAAAOAAAAZHJzL2Uyb0RvYy54&#10;bWytVE1vEzEQvSPxHyzf6W5SGlDUTRUaFSFVtFJBnB2vt2vJX9hOdsMVCY6IC1wqIQ7c+AH8oeZ3&#10;8LybpKVw6IGLM56ZfTPveSaHR61WZCl8kNYUdLCXUyIMt6U0lwV9/erk0VNKQmSmZMoaUdCVCPRo&#10;8vDBYePGYmhrq0rhCUBMGDeuoHWMbpxlgddCs7BnnTAIVtZrFnH1l1npWQN0rbJhno+yxvrSectF&#10;CPDO+iDdIPr7ANqqklzMLF9oYWKP6oViEZRCLV2gk67bqhI8nlVVEJGogoJp7E4UgT1PZzY5ZONL&#10;z1wt+aYFdp8W7nDSTBoU3UHNWGRk4eVfUFpyb4Ot4h63OuuJdIqAxSC/o81FzZzouEDq4Haih/8H&#10;y18uzz2RZUGfUGKYxoOvv3xcX/1cf/9Arj99vv71fv31x/rqG7STUSH8hxPyNS6MgXLhgBPbZ7bF&#10;UCVZkz/AmVRpK6/TL/gSxCH+aie+aCPhcA5Hg/3RCCGO2P4ozx8fJJjs5mvnQ3wurCbJKKjH43aa&#10;s+VpiH3qNiUVM/ZEKgU/GytDmoKO9g/y7oNdBODKoMZNr8mK7bzdEJjbcgVe3vaDExw/kSh+ykI8&#10;Zx6Tgn6xS/EMR6UsitiNRUlt/bt/+VM+HhBRShpMXkHD2wXzghL1wuBpE3fAxu4Cw9/2zrdes9DH&#10;FkM9wLY63pkpN6qtWXmr32DVpqkaQsxw1Cwoj357OY79JmBZuZhOuzSMpWPx1Fw4nsB7IaeLaCvZ&#10;aZwE6lXZ6IbB7F5ps0Rp8m/fu6ybP47J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UNNvHdAAAA&#10;DAEAAA8AAAAAAAAAAQAgAAAAIgAAAGRycy9kb3ducmV2LnhtbFBLAQIUABQAAAAIAIdO4kC4L8Rj&#10;UQIAAIAEAAAOAAAAAAAAAAEAIAAAACw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06E0079B">
                      <w:pPr>
                        <w:wordWrap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XXXX-XX-XX 发布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2A9E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</w:rPr>
                              <w:t>XXXX-XX-XX 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实施日期" o:spid="_x0000_s1026" o:spt="202" type="#_x0000_t202" style="position:absolute;left:0pt;margin-left:279.8pt;margin-top:674.5pt;height:28.35pt;width:205.8pt;z-index:251666432;v-text-anchor:middle;mso-width-relative:page;mso-height-relative:page;" filled="f" stroked="f" coordsize="21600,21600" o:gfxdata="UEsDBAoAAAAAAIdO4kAAAAAAAAAAAAAAAAAEAAAAZHJzL1BLAwQUAAAACACHTuJAjxIb0d8AAAAN&#10;AQAADwAAAGRycy9kb3ducmV2LnhtbE2PzU7DMBCE70i8g7VIXCpqp23aJsSpREoPlZCAgsTVjU0S&#10;NV5HtvsDT89yguPOfJqdKVYX27OT8aFzKCEZC2AGa6c7bCS8v23ulsBCVKhV79BI+DIBVuX1VaFy&#10;7c74ak672DAKwZArCW2MQ855qFtjVRi7wSB5n85bFen0DddenSnc9nwixJxb1SF9aNVgqtbUh93R&#10;SngYrR/5x2jtNy9Pz9vKf9fV9LCU8vYmEffAornEPxh+61N1KKnT3h1RB9ZLSNNsTigZ01lGqwjJ&#10;FskE2J6kmUgXwMuC/19R/gBQSwMEFAAAAAgAh07iQPAPaWZPAgAAgAQAAA4AAABkcnMvZTJvRG9j&#10;LnhtbK1UzW4TMRC+I/EOlu90NymNUNRNFVoVIUW0UkCcHa+3a8l/2E53wwPAG5RLBeLADfEGPA55&#10;Dj7v5qcUDj1wccYzs9/4+2YmxyetVuRa+CCtKejgIKdEGG5Laa4K+ub1+ZNnlITITMmUNaKgKxHo&#10;yeTxo+PGjcXQ1laVwhOAmDBuXEHrGN04ywKvhWbhwDphEKys1yzi6q+y0rMG6FplwzwfZY31pfOW&#10;ixDgPeuDdIPoHwJoq0pycWb5UgsTe1QvFIugFGrpAp10r60qweNFVQURiSoomMbuRBHYi3Rmk2M2&#10;vvLM1ZJvnsAe8oR7nDSTBkV3UGcsMrL08i8oLbm3wVbxgFud9UQ6RcBikN/TZl4zJzoukDq4nejh&#10;/8HyV9eXnsiyoGi7YRoNX998XN9+X3/9QH79+Ly++bn+9G19+wXayagQ/sMJ+RoXxkCZO+DE9rlt&#10;MVRJ1uQPcCZV2srr9Au+BHGIv9qJL9pIOJzD0eBwNEKII3Y4yvOnRwkm23/tfIgvhNUkGQX1aG6n&#10;ObuehdinblNSMWPPpVLws7EypCno6PAo7z7YRQCuDGrs35qs2C7aDYGFLVfg5W0/OMHxc4niMxbi&#10;JfOYFLwXuxQvcFTKoojdWJTU1r//lz/lo4GIUtJg8goa3i2ZF5SolwatTdwBG7sLDH/Xu9h6zVKf&#10;Wgz1ANvqeGem3Ki2ZuWtfotVm6ZqCDHDUbOgPPrt5TT2m4Bl5WI67dIwlo7FmZk7nsB7IafLaCvZ&#10;aZwE6lXZ6IbB7Lq0WaI0+XfvXdb+j2Py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8SG9HfAAAA&#10;DQEAAA8AAAAAAAAAAQAgAAAAIgAAAGRycy9kb3ducmV2LnhtbFBLAQIUABQAAAAIAIdO4kDwD2lm&#10;TwIAAIAEAAAOAAAAAAAAAAEAIAAAAC4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p w14:paraId="5322A9E9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</w:rPr>
                        <w:t>XXXX-XX-XX 实施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jc w:val="center"/>
                              <w:tblLayout w:type="autofit"/>
                              <w:tblCellMar>
                                <w:top w:w="85" w:type="dxa"/>
                                <w:left w:w="0" w:type="dxa"/>
                                <w:bottom w:w="85" w:type="dxa"/>
                                <w:right w:w="108" w:type="dxa"/>
                              </w:tblCellMar>
                            </w:tblPr>
                            <w:tblGrid>
                              <w:gridCol w:w="3600"/>
                              <w:gridCol w:w="1410"/>
                            </w:tblGrid>
                            <w:tr w14:paraId="2B855690">
                              <w:tblPrEx>
                                <w:tblCellMar>
                                  <w:top w:w="85" w:type="dxa"/>
                                  <w:left w:w="0" w:type="dxa"/>
                                  <w:bottom w:w="85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8FA2FCA">
                                  <w:pPr>
                                    <w:wordWrap/>
                                    <w:snapToGrid w:val="0"/>
                                    <w:spacing w:line="200" w:lineRule="auto"/>
                                    <w:jc w:val="distribute"/>
                                    <w:rPr>
                                      <w:rFonts w:hint="eastAsia"/>
                                      <w:spacing w:val="34"/>
                                      <w:w w:val="75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6"/>
                                      <w:szCs w:val="36"/>
                                    </w:rPr>
                                    <w:t>广东省市场监督管理局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0803C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pacing w:val="85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14:paraId="35569C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单位" o:spid="_x0000_s1026" o:spt="202" type="#_x0000_t202" style="position:absolute;left:0pt;margin-left:0.15pt;margin-top:725.75pt;height:66.3pt;width:482.6pt;z-index:251667456;v-text-anchor:middle;mso-width-relative:page;mso-height-relative:page;" filled="f" stroked="f" coordsize="21600,21600" o:gfxdata="UEsDBAoAAAAAAIdO4kAAAAAAAAAAAAAAAAAEAAAAZHJzL1BLAwQUAAAACACHTuJAv+2P49wAAAAK&#10;AQAADwAAAGRycy9kb3ducmV2LnhtbE2PzU7DMBCE70i8g7VIXCrqhDZVCHEqkdIDUiWgIHF14yWJ&#10;Gq8j2/2Bp2c5wW13ZjT7bbk820Ec0YfekYJ0moBAapzpqVXw/ra+yUGEqMnowREq+MIAy+ryotSF&#10;cSd6xeM2toJLKBRaQRfjWEgZmg6tDlM3IrH36bzVkVffSuP1icvtIG+TZCGt7okvdHrEusNmvz1Y&#10;BQ+T1aP8mKz8+mXz/FT776ae7XOlrq/S5B5ExHP8C8MvPqNDxUw7dyATxKBgxjlW51magWD/bpHx&#10;sGMpy+cpyKqU/1+ofgBQSwMEFAAAAAgAh07iQPUh0I5SAgAAgAQAAA4AAABkcnMvZTJvRG9jLnht&#10;bK1UzW4TMRC+I/EOlu90NylEbZRNFVoVIVW0UkGcHa+3a8l/2E52yxUJThXiACcu3HkALrwNzXPw&#10;eTdJS+HQAxfveGb8zcw3Mzs5aLUiS+GDtKagg52cEmG4LaW5KOirl8eP9igJkZmSKWtEQS9FoAfT&#10;hw8mjRuLoa2tKoUnADFh3LiC1jG6cZYFXgvNwo51wsBYWa9ZxNVfZKVnDdC1yoZ5Psoa60vnLRch&#10;QHvUG+ka0d8H0FaV5OLI8oUWJvaoXigWUVKopQt02mVbVYLH06oKIhJVUFQauxNBIM/TmU0nbHzh&#10;maslX6fA7pPCnZo0kwZBt1BHLDKy8PIvKC25t8FWcYdbnfWFdIygikF+h5vzmjnR1QKqg9uSHv4f&#10;LH+xPPNElgXdp8QwjYavvnxYff2++vaeXH/8dP3j3fXV518/r8CdjArmP5Sgr3FhDJRzB5zYPrUt&#10;hirRmvQBysRKW3mdvqiXwA7yL7fkizYSDuVoMNzPhzBx2PYeJzoSTHbz2vkQnwmrSRIK6tHcjnO2&#10;PAmxd924pGDGHkuloGdjZUiDCLtP8u7B1gJwZRDjJtckxXberguY2/ISdXnbD05w/Fgi+AkL8Yx5&#10;TAryxS7FUxyVsghi1xIltfVv/6VP/mggrJQ0mLyChjcL5gUl6rlBa3dHeQ7Y2F0g+Nva+UZrFvrQ&#10;YqgH2FbHOzH5RrURK2/1a6zaLEWDiRmOmAXl0W8uh7HfBCwrF7NZ54axdCyemHPHE3hP5GwRbSU7&#10;jhNBPStr3jCYXZfWS5Qm//a987r5cU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/tj+PcAAAA&#10;CgEAAA8AAAAAAAAAAQAgAAAAIgAAAGRycy9kb3ducmV2LnhtbFBLAQIUABQAAAAIAIdO4kD1IdCO&#10;UgIAAIAEAAAOAAAAAAAAAAEAIAAAACs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 inset="1mm,0mm,1mm,0mm">
                  <w:txbxContent>
                    <w:tbl>
                      <w:tblPr>
                        <w:tblStyle w:val="17"/>
                        <w:tblW w:w="0" w:type="auto"/>
                        <w:jc w:val="center"/>
                        <w:tblLayout w:type="autofit"/>
                        <w:tblCellMar>
                          <w:top w:w="85" w:type="dxa"/>
                          <w:left w:w="0" w:type="dxa"/>
                          <w:bottom w:w="85" w:type="dxa"/>
                          <w:right w:w="108" w:type="dxa"/>
                        </w:tblCellMar>
                      </w:tblPr>
                      <w:tblGrid>
                        <w:gridCol w:w="3600"/>
                        <w:gridCol w:w="1410"/>
                      </w:tblGrid>
                      <w:tr w14:paraId="2B855690">
                        <w:tblPrEx>
                          <w:tblCellMar>
                            <w:top w:w="85" w:type="dxa"/>
                            <w:left w:w="0" w:type="dxa"/>
                            <w:bottom w:w="85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08FA2FCA">
                            <w:pPr>
                              <w:wordWrap/>
                              <w:snapToGrid w:val="0"/>
                              <w:spacing w:line="200" w:lineRule="auto"/>
                              <w:jc w:val="distribute"/>
                              <w:rPr>
                                <w:rFonts w:hint="eastAsia"/>
                                <w:spacing w:val="34"/>
                                <w:w w:val="7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6"/>
                                <w:szCs w:val="36"/>
                              </w:rPr>
                              <w:t>广东省市场监督管理局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14:paraId="010803C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85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14:paraId="35569C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EB0F2">
      <w:pPr>
        <w:rPr>
          <w:rFonts w:hint="eastAsia"/>
        </w:rPr>
        <w:sectPr>
          <w:pgSz w:w="11906" w:h="16838"/>
          <w:pgMar w:top="567" w:right="850" w:bottom="1111" w:left="1417" w:header="850" w:footer="850" w:gutter="0"/>
          <w:cols w:space="425" w:num="1"/>
          <w:docGrid w:type="lines" w:linePitch="312" w:charSpace="0"/>
        </w:sectPr>
      </w:pPr>
    </w:p>
    <w:p w14:paraId="77571671">
      <w:pPr>
        <w:pStyle w:val="36"/>
      </w:pPr>
      <w:r>
        <w:rPr>
          <w:rFonts w:hint="eastAsia" w:hAnsi="黑体" w:cs="黑体"/>
        </w:rPr>
        <w:t>目</w:t>
      </w:r>
      <w:r>
        <w:rPr>
          <w:rFonts w:hint="eastAsia" w:ascii="MS Mincho" w:hAnsi="MS Mincho" w:eastAsia="MS Mincho" w:cs="MS Mincho"/>
        </w:rPr>
        <w:t>  </w:t>
      </w:r>
      <w:r>
        <w:rPr>
          <w:rFonts w:hint="eastAsia" w:hAnsi="黑体" w:cs="黑体"/>
        </w:rPr>
        <w:t>次</w:t>
      </w:r>
      <w:bookmarkStart w:id="6" w:name="_GoBack"/>
      <w:bookmarkEnd w:id="6"/>
    </w:p>
    <w:p w14:paraId="6304E7C8">
      <w:pPr>
        <w:pStyle w:val="38"/>
        <w:spacing w:before="78" w:after="78"/>
        <w:rPr>
          <w:rFonts w:hint="eastAsia"/>
        </w:rPr>
      </w:pPr>
      <w:r>
        <w:fldChar w:fldCharType="begin"/>
      </w:r>
      <w:r>
        <w:rPr>
          <w:rFonts w:hint="eastAsia"/>
        </w:rPr>
        <w:instrText xml:space="preserve">TOC \o "1-3" \h \z \u \* MERGEFORMAT</w:instrText>
      </w:r>
      <w:r>
        <w:fldChar w:fldCharType="separate"/>
      </w:r>
      <w:r>
        <w:fldChar w:fldCharType="begin"/>
      </w:r>
      <w:r>
        <w:instrText xml:space="preserve"> HYPERLINK \l "_Toc93ba12a8-9b20-41ed-869c-08e226f0f9d4" </w:instrText>
      </w:r>
      <w:r>
        <w:fldChar w:fldCharType="separate"/>
      </w:r>
      <w:r>
        <w:rPr>
          <w:rStyle w:val="20"/>
          <w:rFonts w:hAnsi="黑体" w:cs="黑体"/>
        </w:rPr>
        <w:t>前言</w:t>
      </w:r>
      <w:r>
        <w:tab/>
      </w:r>
      <w:r>
        <w:fldChar w:fldCharType="begin"/>
      </w:r>
      <w:r>
        <w:instrText xml:space="preserve">PAGEREF _Toc93ba12a8-9b20-41ed-869c-08e226f0f9d4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 w14:paraId="4E3CD1E0">
      <w:pPr>
        <w:pStyle w:val="38"/>
        <w:spacing w:before="78" w:after="78"/>
        <w:rPr>
          <w:rFonts w:hint="eastAsia"/>
        </w:rPr>
      </w:pPr>
      <w:r>
        <w:fldChar w:fldCharType="begin"/>
      </w:r>
      <w:r>
        <w:instrText xml:space="preserve"> HYPERLINK \l "_Tocacda6537-bff0-49f7-addb-74e2a55b903d" </w:instrText>
      </w:r>
      <w:r>
        <w:fldChar w:fldCharType="separate"/>
      </w:r>
      <w:r>
        <w:rPr>
          <w:rStyle w:val="20"/>
          <w:rFonts w:hAnsi="黑体" w:cs="黑体"/>
        </w:rPr>
        <w:t>1 范围</w:t>
      </w:r>
      <w:r>
        <w:tab/>
      </w:r>
      <w:r>
        <w:fldChar w:fldCharType="begin"/>
      </w:r>
      <w:r>
        <w:instrText xml:space="preserve">PAGEREF _Tocacda6537-bff0-49f7-addb-74e2a55b903d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E4C5FA3">
      <w:pPr>
        <w:pStyle w:val="38"/>
        <w:spacing w:before="78" w:after="78"/>
        <w:rPr>
          <w:rFonts w:hint="eastAsia"/>
        </w:rPr>
      </w:pPr>
      <w:r>
        <w:fldChar w:fldCharType="begin"/>
      </w:r>
      <w:r>
        <w:instrText xml:space="preserve"> HYPERLINK \l "_Toce86a1b7c-e3df-4174-af90-c750bb00f107" </w:instrText>
      </w:r>
      <w:r>
        <w:fldChar w:fldCharType="separate"/>
      </w:r>
      <w:r>
        <w:rPr>
          <w:rStyle w:val="20"/>
          <w:rFonts w:hAnsi="黑体" w:cs="黑体"/>
        </w:rPr>
        <w:t>2 规范性引用文件</w:t>
      </w:r>
      <w:r>
        <w:tab/>
      </w:r>
      <w:r>
        <w:fldChar w:fldCharType="begin"/>
      </w:r>
      <w:r>
        <w:instrText xml:space="preserve">PAGEREF _Toce86a1b7c-e3df-4174-af90-c750bb00f107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FD9ADA">
      <w:pPr>
        <w:pStyle w:val="38"/>
        <w:spacing w:before="78" w:after="78"/>
        <w:rPr>
          <w:rFonts w:hint="eastAsia"/>
        </w:rPr>
      </w:pPr>
      <w:r>
        <w:fldChar w:fldCharType="begin"/>
      </w:r>
      <w:r>
        <w:instrText xml:space="preserve"> HYPERLINK \l "_Tocc98199a5-5db7-4031-84eb-45ab6667008e" </w:instrText>
      </w:r>
      <w:r>
        <w:fldChar w:fldCharType="separate"/>
      </w:r>
      <w:r>
        <w:rPr>
          <w:rStyle w:val="20"/>
          <w:rFonts w:hAnsi="黑体" w:cs="黑体"/>
        </w:rPr>
        <w:t>3 术语和定义</w:t>
      </w:r>
      <w:r>
        <w:tab/>
      </w:r>
      <w:r>
        <w:fldChar w:fldCharType="begin"/>
      </w:r>
      <w:r>
        <w:instrText xml:space="preserve">PAGEREF _Tocc98199a5-5db7-4031-84eb-45ab6667008e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62A5E3B">
      <w:pPr>
        <w:pStyle w:val="38"/>
        <w:spacing w:before="78" w:after="78"/>
        <w:rPr>
          <w:rFonts w:hint="eastAsia"/>
        </w:rPr>
      </w:pPr>
      <w:r>
        <w:fldChar w:fldCharType="begin"/>
      </w:r>
      <w:r>
        <w:instrText xml:space="preserve"> HYPERLINK \l "_Toc4acc63b2-3c91-45f5-97ac-1c4cf36655cc" </w:instrText>
      </w:r>
      <w:r>
        <w:fldChar w:fldCharType="separate"/>
      </w:r>
      <w:r>
        <w:rPr>
          <w:rStyle w:val="20"/>
          <w:rFonts w:hAnsi="黑体" w:cs="黑体"/>
        </w:rPr>
        <w:t>4 技术</w:t>
      </w:r>
      <w:r>
        <w:rPr>
          <w:rStyle w:val="20"/>
          <w:rFonts w:hint="eastAsia" w:hAnsi="黑体" w:cs="黑体"/>
        </w:rPr>
        <w:t>要求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 w14:paraId="526DF0BF">
      <w:pPr>
        <w:spacing w:line="270" w:lineRule="auto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134" w:right="1134" w:bottom="1134" w:left="1417" w:header="850" w:footer="680" w:gutter="0"/>
          <w:pgNumType w:fmt="upperRoman" w:start="1"/>
          <w:cols w:space="425" w:num="1"/>
          <w:docGrid w:type="lines" w:linePitch="312" w:charSpace="0"/>
        </w:sectPr>
      </w:pPr>
      <w:r>
        <w:fldChar w:fldCharType="end"/>
      </w:r>
    </w:p>
    <w:p w14:paraId="5EB9BE34">
      <w:pPr>
        <w:pStyle w:val="49"/>
      </w:pPr>
      <w:bookmarkStart w:id="0" w:name="_Toc93ba12a8-9b20-41ed-869c-08e226f0f9d4"/>
      <w:r>
        <w:rPr>
          <w:rFonts w:hint="eastAsia" w:hAnsi="黑体" w:cs="黑体"/>
        </w:rPr>
        <w:t>前</w:t>
      </w:r>
      <w:r>
        <w:rPr>
          <w:rFonts w:hint="eastAsia" w:ascii="MS Mincho" w:hAnsi="MS Mincho" w:eastAsia="MS Mincho" w:cs="MS Mincho"/>
        </w:rPr>
        <w:t>  </w:t>
      </w:r>
      <w:r>
        <w:rPr>
          <w:rFonts w:hint="eastAsia" w:hAnsi="黑体" w:cs="黑体"/>
        </w:rPr>
        <w:t>言</w:t>
      </w:r>
      <w:bookmarkEnd w:id="0"/>
    </w:p>
    <w:p w14:paraId="16C2C389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本文件按照GB/T 1.1—2020《标准化工作导则 第1部分：标准化文件的结构和起草规则》的规定起草。</w:t>
      </w:r>
    </w:p>
    <w:p w14:paraId="48D40ECC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请注意本文件的某些内容可能涉及专利。本文件的发布机构不承担识别专利的责任。</w:t>
      </w:r>
    </w:p>
    <w:p w14:paraId="0A489283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本文件由广东省市场监督管理局提出并归口 。</w:t>
      </w:r>
    </w:p>
    <w:p w14:paraId="1D295C5F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本文件起草单位：</w:t>
      </w:r>
      <w:r>
        <w:rPr>
          <w:rFonts w:hint="eastAsia"/>
        </w:rPr>
        <w:t>中国热带农业科学院农产品加工研究所</w:t>
      </w:r>
      <w:r>
        <w:rPr>
          <w:rFonts w:hint="eastAsia"/>
          <w:lang w:eastAsia="zh-CN"/>
        </w:rPr>
        <w:t>、……</w:t>
      </w:r>
      <w:r>
        <w:rPr>
          <w:rFonts w:hint="eastAsia" w:hAnsi="宋体" w:cs="宋体"/>
          <w:szCs w:val="21"/>
        </w:rPr>
        <w:t>。</w:t>
      </w:r>
    </w:p>
    <w:p w14:paraId="56C96581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本文件主要起草人： XXXX 。</w:t>
      </w:r>
    </w:p>
    <w:p w14:paraId="0747DA29">
      <w:pPr>
        <w:rPr>
          <w:rFonts w:hint="eastAsia"/>
        </w:rPr>
        <w:sectPr>
          <w:headerReference r:id="rId5" w:type="default"/>
          <w:footerReference r:id="rId6" w:type="default"/>
          <w:pgSz w:w="11906" w:h="16838"/>
          <w:pgMar w:top="1417" w:right="1134" w:bottom="1134" w:left="1417" w:header="850" w:footer="680" w:gutter="0"/>
          <w:pgNumType w:fmt="upperRoman"/>
          <w:cols w:space="425" w:num="1"/>
          <w:docGrid w:type="lines" w:linePitch="312" w:charSpace="0"/>
        </w:sectPr>
      </w:pPr>
    </w:p>
    <w:p w14:paraId="6A8917A1">
      <w:pPr>
        <w:pStyle w:val="48"/>
      </w:pPr>
      <w:r>
        <w:rPr>
          <w:rFonts w:hint="eastAsia" w:hAnsi="黑体" w:cs="黑体"/>
        </w:rPr>
        <w:t>余甘子及其制品</w:t>
      </w:r>
    </w:p>
    <w:p w14:paraId="285C794B">
      <w:pPr>
        <w:pStyle w:val="53"/>
        <w:numPr>
          <w:ilvl w:val="0"/>
          <w:numId w:val="2"/>
        </w:numPr>
        <w:spacing w:after="312"/>
        <w:outlineLvl w:val="0"/>
        <w:rPr>
          <w:rFonts w:hint="eastAsia" w:cs="黑体"/>
          <w:szCs w:val="21"/>
        </w:rPr>
      </w:pPr>
      <w:bookmarkStart w:id="1" w:name="_Tocacda6537-bff0-49f7-addb-74e2a55b903d"/>
      <w:r>
        <w:rPr>
          <w:rFonts w:hint="eastAsia" w:cs="黑体"/>
          <w:szCs w:val="21"/>
        </w:rPr>
        <w:t>范围</w:t>
      </w:r>
      <w:bookmarkEnd w:id="1"/>
    </w:p>
    <w:p w14:paraId="7EA60B1C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本文件适用于广东产余甘子及其制品。</w:t>
      </w:r>
    </w:p>
    <w:p w14:paraId="43051B58">
      <w:pPr>
        <w:pStyle w:val="67"/>
        <w:numPr>
          <w:ilvl w:val="0"/>
          <w:numId w:val="2"/>
        </w:numPr>
        <w:snapToGrid w:val="0"/>
        <w:outlineLvl w:val="0"/>
        <w:rPr>
          <w:rFonts w:hint="eastAsia" w:cs="黑体"/>
          <w:szCs w:val="21"/>
        </w:rPr>
      </w:pPr>
      <w:bookmarkStart w:id="2" w:name="_Toce86a1b7c-e3df-4174-af90-c750bb00f107"/>
      <w:r>
        <w:rPr>
          <w:rFonts w:hint="eastAsia" w:cs="黑体"/>
          <w:szCs w:val="21"/>
        </w:rPr>
        <w:t>规范性引用文件</w:t>
      </w:r>
      <w:bookmarkEnd w:id="2"/>
    </w:p>
    <w:p w14:paraId="35F6E7A5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下列文件对于本文件的应用是必不可少的。凡是注日期的引用文件,仅注日期的版本适用于本文件。凡是不注日期的引用文件,其最新版本(包括所有的修改单)适用于本文件。</w:t>
      </w:r>
    </w:p>
    <w:p w14:paraId="5C217543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GB/T 191  包装储运图示标志</w:t>
      </w:r>
    </w:p>
    <w:p w14:paraId="0A9C80C2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 xml:space="preserve">GB 2760 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 xml:space="preserve">食品安全国家标准 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食品添加剂使用标准</w:t>
      </w:r>
    </w:p>
    <w:p w14:paraId="310437CB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2762</w:t>
      </w:r>
      <w:r>
        <w:rPr>
          <w:rFonts w:hint="eastAsia" w:ascii="Times New Roman"/>
        </w:rPr>
        <w:t xml:space="preserve">  食品安全国家标准  食品中污染物限量</w:t>
      </w:r>
    </w:p>
    <w:p w14:paraId="09DD2BC2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2763</w:t>
      </w:r>
      <w:r>
        <w:rPr>
          <w:rFonts w:hint="eastAsia" w:ascii="Times New Roman"/>
        </w:rPr>
        <w:t xml:space="preserve">  食品安全国家标准  食品中农药最大残留限量</w:t>
      </w:r>
    </w:p>
    <w:p w14:paraId="04E4701F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4789.1</w:t>
      </w:r>
      <w:r>
        <w:rPr>
          <w:rFonts w:hint="eastAsia" w:ascii="Times New Roman"/>
        </w:rPr>
        <w:t xml:space="preserve">  食品安全国家标准  食品微生物学检验  总则</w:t>
      </w:r>
    </w:p>
    <w:p w14:paraId="4AAE030B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4789.2</w:t>
      </w:r>
      <w:r>
        <w:rPr>
          <w:rFonts w:hint="eastAsia" w:ascii="Times New Roman"/>
        </w:rPr>
        <w:t xml:space="preserve">  食品安全国家标准  食品微生物学检验  菌落总数测定</w:t>
      </w:r>
    </w:p>
    <w:p w14:paraId="10B7962A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4789.3</w:t>
      </w:r>
      <w:r>
        <w:rPr>
          <w:rFonts w:hint="eastAsia" w:ascii="Times New Roman"/>
        </w:rPr>
        <w:t xml:space="preserve">  食品安全国家标准  食品微生物学检验  大肠菌群计数</w:t>
      </w:r>
    </w:p>
    <w:p w14:paraId="6E088293">
      <w:pPr>
        <w:pStyle w:val="52"/>
        <w:wordWrap w:val="0"/>
        <w:autoSpaceDE/>
        <w:autoSpaceDN/>
        <w:jc w:val="both"/>
        <w:rPr>
          <w:rFonts w:hint="eastAsia" w:ascii="Times New Roman"/>
        </w:rPr>
      </w:pPr>
      <w:r>
        <w:rPr>
          <w:rFonts w:ascii="Times New Roman"/>
        </w:rPr>
        <w:t>GB 4789.15</w:t>
      </w:r>
      <w:r>
        <w:rPr>
          <w:rFonts w:hint="eastAsia" w:ascii="Times New Roman"/>
        </w:rPr>
        <w:t xml:space="preserve">  食品安全国家标准  食品微生物学检验  霉菌和酵母计数</w:t>
      </w:r>
    </w:p>
    <w:p w14:paraId="3F38B970">
      <w:pPr>
        <w:pStyle w:val="52"/>
        <w:wordWrap w:val="0"/>
        <w:autoSpaceDE/>
        <w:autoSpaceDN/>
        <w:jc w:val="both"/>
        <w:rPr>
          <w:rFonts w:hint="eastAsia" w:ascii="Times New Roman"/>
        </w:rPr>
      </w:pPr>
      <w:r>
        <w:rPr>
          <w:rFonts w:hint="eastAsia" w:ascii="Times New Roman"/>
        </w:rPr>
        <w:t>GB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4789.26</w:t>
      </w:r>
      <w:r>
        <w:rPr>
          <w:rFonts w:hint="eastAsia" w:ascii="Times New Roman"/>
          <w:lang w:val="en-US" w:eastAsia="zh-CN"/>
        </w:rPr>
        <w:t xml:space="preserve">  </w:t>
      </w:r>
      <w:r>
        <w:rPr>
          <w:rFonts w:hint="eastAsia" w:ascii="Times New Roman"/>
        </w:rPr>
        <w:t xml:space="preserve">食品安全国家标准 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 xml:space="preserve">食品微生物学检验 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hint="eastAsia" w:ascii="Times New Roman"/>
        </w:rPr>
        <w:t>商业无菌检验</w:t>
      </w:r>
    </w:p>
    <w:p w14:paraId="57863FE1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5009.3</w:t>
      </w:r>
      <w:r>
        <w:rPr>
          <w:rFonts w:hint="eastAsia" w:ascii="Times New Roman"/>
        </w:rPr>
        <w:t xml:space="preserve">  食品安全国家标准  食品中水分的测定</w:t>
      </w:r>
    </w:p>
    <w:p w14:paraId="3DFEFB17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7718</w:t>
      </w:r>
      <w:r>
        <w:rPr>
          <w:rFonts w:hint="eastAsia" w:ascii="Times New Roman"/>
        </w:rPr>
        <w:t xml:space="preserve">  食品安全国家标准  预包装食品标签通则</w:t>
      </w:r>
    </w:p>
    <w:p w14:paraId="79F366F6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12456</w:t>
      </w:r>
      <w:r>
        <w:rPr>
          <w:rFonts w:hint="eastAsia" w:ascii="Times New Roman"/>
        </w:rPr>
        <w:t xml:space="preserve">  食品安全国家标准  食品中总酸的测定</w:t>
      </w:r>
    </w:p>
    <w:p w14:paraId="09C1E1C2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28050</w:t>
      </w:r>
      <w:r>
        <w:rPr>
          <w:rFonts w:hint="eastAsia" w:ascii="Times New Roman"/>
        </w:rPr>
        <w:t xml:space="preserve">  食品安全国家标准  预包装食品营养标签通则</w:t>
      </w:r>
    </w:p>
    <w:p w14:paraId="6DFE82A6">
      <w:pPr>
        <w:pStyle w:val="52"/>
        <w:wordWrap w:val="0"/>
        <w:autoSpaceDE/>
        <w:autoSpaceDN/>
        <w:jc w:val="both"/>
        <w:rPr>
          <w:rFonts w:ascii="Times New Roman"/>
        </w:rPr>
      </w:pPr>
      <w:r>
        <w:rPr>
          <w:rFonts w:ascii="Times New Roman"/>
        </w:rPr>
        <w:t>GB 29921</w:t>
      </w:r>
      <w:r>
        <w:rPr>
          <w:rFonts w:hint="eastAsia" w:ascii="Times New Roman"/>
        </w:rPr>
        <w:t xml:space="preserve">  食品安全国家标准  预包装食品中致病菌限量</w:t>
      </w:r>
    </w:p>
    <w:p w14:paraId="57E71CD4">
      <w:pPr>
        <w:pStyle w:val="67"/>
        <w:numPr>
          <w:ilvl w:val="0"/>
          <w:numId w:val="2"/>
        </w:numPr>
        <w:snapToGrid w:val="0"/>
        <w:outlineLvl w:val="0"/>
        <w:rPr>
          <w:rFonts w:hint="eastAsia" w:cs="黑体"/>
          <w:szCs w:val="21"/>
        </w:rPr>
      </w:pPr>
      <w:bookmarkStart w:id="3" w:name="_Tocc98199a5-5db7-4031-84eb-45ab6667008e"/>
      <w:r>
        <w:rPr>
          <w:rFonts w:hint="eastAsia" w:cs="黑体"/>
          <w:szCs w:val="21"/>
        </w:rPr>
        <w:t>术语和定义</w:t>
      </w:r>
      <w:bookmarkEnd w:id="3"/>
    </w:p>
    <w:p w14:paraId="5849DB0A">
      <w:pPr>
        <w:pStyle w:val="52"/>
        <w:wordWrap w:val="0"/>
        <w:jc w:val="both"/>
      </w:pPr>
      <w:r>
        <w:rPr>
          <w:rFonts w:hint="eastAsia" w:hAnsi="宋体" w:cs="宋体"/>
          <w:szCs w:val="21"/>
        </w:rPr>
        <w:t>下列术语和定义适用于本文件。</w:t>
      </w:r>
    </w:p>
    <w:p w14:paraId="2464E94C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 xml:space="preserve">3.1 </w:t>
      </w:r>
    </w:p>
    <w:p w14:paraId="4E56DA35">
      <w:pPr>
        <w:pStyle w:val="65"/>
        <w:numPr>
          <w:ilvl w:val="2"/>
          <w:numId w:val="0"/>
        </w:numPr>
        <w:spacing w:before="156" w:after="156"/>
        <w:ind w:firstLine="420" w:firstLineChars="200"/>
      </w:pPr>
      <w:r>
        <w:rPr>
          <w:rFonts w:hint="eastAsia" w:hAnsi="宋体" w:cs="黑体"/>
          <w:color w:val="000000"/>
          <w:szCs w:val="21"/>
          <w:lang w:bidi="ar"/>
        </w:rPr>
        <w:t>余甘子</w:t>
      </w:r>
      <w:r>
        <w:rPr>
          <w:rFonts w:hAnsi="宋体" w:cs="黑体"/>
          <w:color w:val="000000"/>
          <w:szCs w:val="21"/>
          <w:lang w:bidi="ar"/>
        </w:rPr>
        <w:t xml:space="preserve"> </w:t>
      </w:r>
      <w:r>
        <w:rPr>
          <w:rFonts w:hint="eastAsia" w:hAnsi="宋体" w:cs="黑体"/>
          <w:color w:val="000000"/>
          <w:szCs w:val="21"/>
          <w:lang w:bidi="ar"/>
        </w:rPr>
        <w:t>emblic myrobalon</w:t>
      </w:r>
    </w:p>
    <w:p w14:paraId="74FDF5AC">
      <w:pPr>
        <w:pStyle w:val="64"/>
        <w:ind w:firstLine="420"/>
      </w:pPr>
      <w:bookmarkStart w:id="4" w:name="_Toc4acc63b2-3c91-45f5-97ac-1c4cf36655cc"/>
      <w:r>
        <w:rPr>
          <w:rFonts w:hint="eastAsia"/>
        </w:rPr>
        <w:t>大戟科植物余甘子</w:t>
      </w:r>
      <w:r>
        <w:rPr>
          <w:rFonts w:ascii="Times New Roman"/>
          <w:i/>
          <w:iCs/>
        </w:rPr>
        <w:t>Phyllanthus emblica</w:t>
      </w:r>
      <w:r>
        <w:rPr>
          <w:rFonts w:ascii="Times New Roman"/>
        </w:rPr>
        <w:t xml:space="preserve"> L</w:t>
      </w:r>
      <w:r>
        <w:rPr>
          <w:rFonts w:hint="eastAsia"/>
        </w:rPr>
        <w:t>.的成熟果实，俗名：油甘子、</w:t>
      </w:r>
      <w:r>
        <w:rPr>
          <w:rFonts w:hint="eastAsia"/>
          <w:lang w:val="en-US" w:eastAsia="zh-CN"/>
        </w:rPr>
        <w:t>滇</w:t>
      </w:r>
      <w:r>
        <w:rPr>
          <w:rFonts w:hint="eastAsia"/>
        </w:rPr>
        <w:t>橄榄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山油</w:t>
      </w:r>
      <w:r>
        <w:rPr>
          <w:rFonts w:hint="eastAsia"/>
        </w:rPr>
        <w:t>甘。</w:t>
      </w:r>
    </w:p>
    <w:bookmarkEnd w:id="4"/>
    <w:p w14:paraId="4DC6C031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 xml:space="preserve">3.2 </w:t>
      </w:r>
    </w:p>
    <w:p w14:paraId="5CC8099E">
      <w:pPr>
        <w:pStyle w:val="65"/>
        <w:numPr>
          <w:ilvl w:val="2"/>
          <w:numId w:val="0"/>
        </w:numPr>
        <w:spacing w:before="156" w:after="156"/>
        <w:ind w:firstLine="420" w:firstLineChars="200"/>
      </w:pPr>
      <w:r>
        <w:rPr>
          <w:rFonts w:hint="eastAsia" w:hAnsi="宋体" w:cs="黑体"/>
          <w:color w:val="000000"/>
          <w:szCs w:val="21"/>
          <w:lang w:bidi="ar"/>
        </w:rPr>
        <w:t>余甘子制品</w:t>
      </w:r>
      <w:r>
        <w:rPr>
          <w:rFonts w:hAnsi="宋体" w:cs="黑体"/>
          <w:color w:val="000000"/>
          <w:szCs w:val="21"/>
          <w:lang w:bidi="ar"/>
        </w:rPr>
        <w:t xml:space="preserve"> </w:t>
      </w:r>
      <w:r>
        <w:rPr>
          <w:rFonts w:hint="eastAsia" w:hAnsi="宋体" w:cs="黑体"/>
          <w:color w:val="000000"/>
          <w:szCs w:val="21"/>
          <w:lang w:bidi="ar"/>
        </w:rPr>
        <w:t>emblic myrobalon products</w:t>
      </w:r>
    </w:p>
    <w:p w14:paraId="5B037660">
      <w:pPr>
        <w:pStyle w:val="64"/>
        <w:ind w:firstLine="420"/>
        <w:rPr>
          <w:rFonts w:hint="default"/>
          <w:lang w:val="en-US"/>
        </w:rPr>
      </w:pPr>
      <w:r>
        <w:rPr>
          <w:rFonts w:hint="eastAsia"/>
        </w:rPr>
        <w:t>以余甘子为主要原料，添加（或不添加）其他辅料，经相应工艺加工制成的预包装食品，主要包括</w:t>
      </w:r>
      <w:r>
        <w:rPr>
          <w:rFonts w:hint="eastAsia"/>
          <w:lang w:val="en-US" w:eastAsia="zh-CN"/>
        </w:rPr>
        <w:t xml:space="preserve">余甘子蜜饯、余甘子果干以及余甘子果酱。 </w:t>
      </w:r>
    </w:p>
    <w:p w14:paraId="2197B7A7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 xml:space="preserve">3.2.1 </w:t>
      </w:r>
    </w:p>
    <w:p w14:paraId="546D54B0">
      <w:pPr>
        <w:pStyle w:val="65"/>
        <w:numPr>
          <w:ilvl w:val="2"/>
          <w:numId w:val="0"/>
        </w:numPr>
        <w:spacing w:before="156" w:after="156"/>
        <w:ind w:firstLine="420" w:firstLineChars="200"/>
      </w:pPr>
      <w:r>
        <w:rPr>
          <w:rFonts w:hint="eastAsia" w:hAnsi="宋体" w:cs="黑体"/>
          <w:color w:val="000000"/>
          <w:szCs w:val="21"/>
          <w:lang w:bidi="ar"/>
        </w:rPr>
        <w:t>余甘子蜜饯</w:t>
      </w:r>
      <w:r>
        <w:rPr>
          <w:rFonts w:hAnsi="宋体" w:cs="黑体"/>
          <w:color w:val="000000"/>
          <w:szCs w:val="21"/>
          <w:lang w:bidi="ar"/>
        </w:rPr>
        <w:t xml:space="preserve"> </w:t>
      </w:r>
      <w:r>
        <w:rPr>
          <w:rFonts w:hint="eastAsia" w:hAnsi="宋体" w:cs="黑体"/>
          <w:color w:val="000000"/>
          <w:szCs w:val="21"/>
          <w:lang w:bidi="ar"/>
        </w:rPr>
        <w:t>emblic myrobalon preserve</w:t>
      </w:r>
    </w:p>
    <w:p w14:paraId="0156D32C">
      <w:pPr>
        <w:pStyle w:val="64"/>
        <w:ind w:firstLine="420"/>
      </w:pPr>
      <w:r>
        <w:rPr>
          <w:rFonts w:hint="eastAsia"/>
        </w:rPr>
        <w:t>以余甘子为主要原料，添加（或不添加）食品添加剂和其他辅料，经糖或蜂蜜或食盐腌制（或不腌制）等工艺制成的制品，包括蜜饯类、凉果类、果脯类、话化类、果糕类和果丹类等。</w:t>
      </w:r>
    </w:p>
    <w:p w14:paraId="7AEFF814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 xml:space="preserve">3.2.2 </w:t>
      </w:r>
    </w:p>
    <w:p w14:paraId="630D00D7">
      <w:pPr>
        <w:pStyle w:val="65"/>
        <w:numPr>
          <w:ilvl w:val="2"/>
          <w:numId w:val="0"/>
        </w:numPr>
        <w:spacing w:before="156" w:after="156"/>
        <w:ind w:firstLine="420" w:firstLineChars="200"/>
      </w:pPr>
      <w:r>
        <w:rPr>
          <w:rFonts w:hint="eastAsia" w:hAnsi="宋体" w:cs="黑体"/>
          <w:color w:val="000000"/>
          <w:szCs w:val="21"/>
          <w:lang w:bidi="ar"/>
        </w:rPr>
        <w:t>余甘子果干</w:t>
      </w:r>
      <w:r>
        <w:rPr>
          <w:rFonts w:hAnsi="宋体" w:cs="黑体"/>
          <w:color w:val="000000"/>
          <w:szCs w:val="21"/>
          <w:lang w:bidi="ar"/>
        </w:rPr>
        <w:t xml:space="preserve"> </w:t>
      </w:r>
      <w:r>
        <w:rPr>
          <w:rFonts w:hint="eastAsia" w:hAnsi="宋体" w:cs="黑体"/>
          <w:color w:val="000000"/>
          <w:szCs w:val="21"/>
          <w:lang w:bidi="ar"/>
        </w:rPr>
        <w:t>emblic myrobalon dried fruits</w:t>
      </w:r>
    </w:p>
    <w:p w14:paraId="04E61AF1">
      <w:pPr>
        <w:pStyle w:val="64"/>
        <w:ind w:firstLine="420"/>
        <w:rPr>
          <w:rFonts w:hint="eastAsia" w:ascii="Times New Roman"/>
        </w:rPr>
      </w:pPr>
      <w:r>
        <w:rPr>
          <w:rFonts w:hint="eastAsia" w:ascii="Times New Roman"/>
        </w:rPr>
        <w:t>以余甘子为主要原料，经脱水，未经腌制，添加（或不添加）食品添加剂而制成的果干。</w:t>
      </w:r>
    </w:p>
    <w:p w14:paraId="176993F2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3.2.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</w:p>
    <w:p w14:paraId="3B5C6EBD">
      <w:pPr>
        <w:pStyle w:val="65"/>
        <w:numPr>
          <w:ilvl w:val="2"/>
          <w:numId w:val="0"/>
        </w:numPr>
        <w:spacing w:before="156" w:after="156"/>
        <w:ind w:firstLine="420" w:firstLineChars="200"/>
        <w:rPr>
          <w:rFonts w:hint="eastAsia" w:eastAsia="黑体"/>
          <w:lang w:eastAsia="zh-CN"/>
        </w:rPr>
      </w:pPr>
      <w:r>
        <w:rPr>
          <w:rFonts w:hint="eastAsia" w:hAnsi="宋体" w:cs="黑体"/>
          <w:color w:val="000000"/>
          <w:szCs w:val="21"/>
          <w:lang w:bidi="ar"/>
        </w:rPr>
        <w:t>余甘子</w:t>
      </w:r>
      <w:r>
        <w:rPr>
          <w:rFonts w:hint="eastAsia" w:hAnsi="宋体" w:cs="黑体"/>
          <w:color w:val="000000"/>
          <w:szCs w:val="21"/>
          <w:lang w:val="en-US" w:eastAsia="zh-CN" w:bidi="ar"/>
        </w:rPr>
        <w:t>果酱</w:t>
      </w:r>
      <w:r>
        <w:rPr>
          <w:rFonts w:hAnsi="宋体" w:cs="黑体"/>
          <w:color w:val="000000"/>
          <w:szCs w:val="21"/>
          <w:lang w:bidi="ar"/>
        </w:rPr>
        <w:t xml:space="preserve"> </w:t>
      </w:r>
      <w:r>
        <w:rPr>
          <w:rFonts w:hint="eastAsia" w:hAnsi="宋体" w:cs="黑体"/>
          <w:color w:val="000000"/>
          <w:szCs w:val="21"/>
          <w:lang w:bidi="ar"/>
        </w:rPr>
        <w:t xml:space="preserve">emblic myrobalon </w:t>
      </w:r>
      <w:r>
        <w:rPr>
          <w:rFonts w:hint="eastAsia" w:hAnsi="宋体" w:cs="黑体"/>
          <w:color w:val="000000"/>
          <w:szCs w:val="21"/>
          <w:lang w:val="en-US" w:eastAsia="zh-CN" w:bidi="ar"/>
        </w:rPr>
        <w:t>jam</w:t>
      </w:r>
    </w:p>
    <w:p w14:paraId="6E857B4E">
      <w:pPr>
        <w:pStyle w:val="64"/>
        <w:ind w:firstLine="420"/>
        <w:rPr>
          <w:rFonts w:hint="eastAsia" w:ascii="Times New Roman"/>
        </w:rPr>
      </w:pPr>
      <w:r>
        <w:rPr>
          <w:rFonts w:hint="eastAsia" w:ascii="Times New Roman"/>
        </w:rPr>
        <w:t>以余甘子</w:t>
      </w:r>
      <w:r>
        <w:rPr>
          <w:rFonts w:hint="eastAsia" w:ascii="Times New Roman"/>
          <w:lang w:eastAsia="zh-CN"/>
        </w:rPr>
        <w:t>、</w:t>
      </w:r>
      <w:r>
        <w:rPr>
          <w:rFonts w:hint="eastAsia" w:ascii="Times New Roman"/>
          <w:lang w:val="en-US" w:eastAsia="zh-CN"/>
        </w:rPr>
        <w:t>余甘子果汁或果浆和糖等</w:t>
      </w:r>
      <w:r>
        <w:rPr>
          <w:rFonts w:hint="eastAsia" w:ascii="Times New Roman"/>
        </w:rPr>
        <w:t>为主要原料，经</w:t>
      </w:r>
      <w:r>
        <w:rPr>
          <w:rFonts w:hint="eastAsia" w:ascii="Times New Roman"/>
          <w:lang w:val="en-US" w:eastAsia="zh-CN"/>
        </w:rPr>
        <w:t>预处理、煮制、打浆（或破碎）、配料、浓缩、包装等工序制成的酱状产品</w:t>
      </w:r>
      <w:r>
        <w:rPr>
          <w:rFonts w:hint="eastAsia" w:ascii="Times New Roman"/>
        </w:rPr>
        <w:t>。</w:t>
      </w:r>
    </w:p>
    <w:p w14:paraId="0AA43312">
      <w:pPr>
        <w:pStyle w:val="67"/>
        <w:numPr>
          <w:ilvl w:val="0"/>
          <w:numId w:val="2"/>
        </w:numPr>
        <w:snapToGrid w:val="0"/>
        <w:outlineLvl w:val="0"/>
        <w:rPr>
          <w:rFonts w:hint="eastAsia" w:cs="黑体"/>
          <w:szCs w:val="21"/>
        </w:rPr>
      </w:pPr>
      <w:r>
        <w:rPr>
          <w:rFonts w:hint="eastAsia" w:cs="黑体"/>
          <w:szCs w:val="21"/>
        </w:rPr>
        <w:t>技术要求</w:t>
      </w:r>
    </w:p>
    <w:p w14:paraId="5847F0C3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4.1 原料要求</w:t>
      </w:r>
    </w:p>
    <w:p w14:paraId="5AEC3DA8">
      <w:pPr>
        <w:pStyle w:val="64"/>
        <w:ind w:firstLine="420"/>
      </w:pPr>
      <w:r>
        <w:rPr>
          <w:rFonts w:hint="eastAsia"/>
        </w:rPr>
        <w:t>原</w:t>
      </w:r>
      <w:r>
        <w:rPr>
          <w:rFonts w:hint="eastAsia" w:ascii="Times New Roman"/>
        </w:rPr>
        <w:t>料应符合相应的食品标准和有关规定。</w:t>
      </w:r>
    </w:p>
    <w:p w14:paraId="3406478C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4.2 感官要求</w:t>
      </w:r>
    </w:p>
    <w:p w14:paraId="6FF3A6D0">
      <w:pPr>
        <w:pStyle w:val="64"/>
        <w:ind w:firstLine="420"/>
        <w:rPr>
          <w:rFonts w:ascii="Times New Roman"/>
        </w:rPr>
      </w:pPr>
      <w:r>
        <w:rPr>
          <w:rFonts w:hint="eastAsia" w:ascii="Times New Roman"/>
        </w:rPr>
        <w:t>感官要求应符合表 1 的规定。</w:t>
      </w:r>
    </w:p>
    <w:p w14:paraId="71537B69">
      <w:pPr>
        <w:pStyle w:val="65"/>
        <w:numPr>
          <w:ilvl w:val="2"/>
          <w:numId w:val="0"/>
        </w:numPr>
        <w:spacing w:before="156" w:after="156"/>
        <w:jc w:val="center"/>
      </w:pPr>
      <w:r>
        <w:rPr>
          <w:rFonts w:hint="eastAsia"/>
        </w:rPr>
        <w:t>表 1   感官要求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480"/>
        <w:gridCol w:w="4094"/>
      </w:tblGrid>
      <w:tr w14:paraId="395D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7" w:type="dxa"/>
            <w:vAlign w:val="center"/>
          </w:tcPr>
          <w:p w14:paraId="2AB2631B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480" w:type="dxa"/>
            <w:vAlign w:val="center"/>
          </w:tcPr>
          <w:p w14:paraId="1890D54F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4094" w:type="dxa"/>
            <w:vAlign w:val="center"/>
          </w:tcPr>
          <w:p w14:paraId="0753EAA7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检验方法</w:t>
            </w:r>
          </w:p>
        </w:tc>
      </w:tr>
      <w:tr w14:paraId="3EE9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7" w:type="dxa"/>
            <w:vAlign w:val="center"/>
          </w:tcPr>
          <w:p w14:paraId="5EFE86F8">
            <w:pPr>
              <w:pStyle w:val="64"/>
              <w:widowControl w:val="0"/>
              <w:ind w:firstLine="0" w:firstLineChars="0"/>
            </w:pPr>
            <w:r>
              <w:rPr>
                <w:rFonts w:hint="eastAsia"/>
              </w:rPr>
              <w:t>色泽</w:t>
            </w:r>
          </w:p>
        </w:tc>
        <w:tc>
          <w:tcPr>
            <w:tcW w:w="3480" w:type="dxa"/>
            <w:vAlign w:val="center"/>
          </w:tcPr>
          <w:p w14:paraId="658CCA0F">
            <w:pPr>
              <w:pStyle w:val="64"/>
              <w:widowControl w:val="0"/>
              <w:ind w:firstLine="0" w:firstLineChars="0"/>
            </w:pPr>
            <w:r>
              <w:t>具有产品应有的色泽</w:t>
            </w:r>
          </w:p>
        </w:tc>
        <w:tc>
          <w:tcPr>
            <w:tcW w:w="4094" w:type="dxa"/>
            <w:vMerge w:val="restart"/>
            <w:vAlign w:val="center"/>
          </w:tcPr>
          <w:p w14:paraId="118BE553">
            <w:pPr>
              <w:pStyle w:val="64"/>
              <w:widowControl w:val="0"/>
              <w:ind w:firstLine="0" w:firstLineChars="0"/>
              <w:jc w:val="left"/>
            </w:pPr>
            <w:r>
              <w:t>取适量试样置于洁净的白色盘(瓷盘或同类容器)中</w:t>
            </w:r>
            <w:r>
              <w:rPr>
                <w:rFonts w:hint="eastAsia"/>
                <w:lang w:eastAsia="zh-CN"/>
              </w:rPr>
              <w:t>，</w:t>
            </w:r>
            <w:r>
              <w:t>在自然光下观察色泽和状态</w:t>
            </w:r>
            <w:r>
              <w:rPr>
                <w:rFonts w:hint="eastAsia"/>
                <w:lang w:eastAsia="zh-CN"/>
              </w:rPr>
              <w:t>，</w:t>
            </w:r>
            <w:r>
              <w:t>闻其气味</w:t>
            </w:r>
            <w:r>
              <w:rPr>
                <w:rFonts w:hint="eastAsia"/>
                <w:lang w:eastAsia="zh-CN"/>
              </w:rPr>
              <w:t>，</w:t>
            </w:r>
            <w:r>
              <w:t>供直接食用的</w:t>
            </w:r>
            <w:r>
              <w:rPr>
                <w:rFonts w:hint="eastAsia"/>
              </w:rPr>
              <w:t>余甘子</w:t>
            </w:r>
            <w:r>
              <w:t>及其制品还应用温开水漱口</w:t>
            </w:r>
            <w:r>
              <w:rPr>
                <w:rFonts w:hint="eastAsia"/>
                <w:lang w:eastAsia="zh-CN"/>
              </w:rPr>
              <w:t>，</w:t>
            </w:r>
            <w:r>
              <w:t>品尝滋味</w:t>
            </w:r>
          </w:p>
        </w:tc>
      </w:tr>
      <w:tr w14:paraId="419B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97" w:type="dxa"/>
            <w:vAlign w:val="center"/>
          </w:tcPr>
          <w:p w14:paraId="1777A0A3">
            <w:pPr>
              <w:pStyle w:val="64"/>
              <w:widowControl w:val="0"/>
              <w:ind w:firstLine="0" w:firstLineChars="0"/>
            </w:pPr>
            <w:r>
              <w:rPr>
                <w:rFonts w:hint="eastAsia"/>
              </w:rPr>
              <w:t>滋味、气味</w:t>
            </w:r>
          </w:p>
        </w:tc>
        <w:tc>
          <w:tcPr>
            <w:tcW w:w="3480" w:type="dxa"/>
            <w:vAlign w:val="center"/>
          </w:tcPr>
          <w:p w14:paraId="635A5B23">
            <w:pPr>
              <w:pStyle w:val="64"/>
              <w:widowControl w:val="0"/>
              <w:ind w:firstLine="0" w:firstLineChars="0"/>
            </w:pPr>
            <w:r>
              <w:t>具有产品应有的滋味和气味</w:t>
            </w:r>
            <w:r>
              <w:rPr>
                <w:rFonts w:hint="eastAsia"/>
                <w:lang w:eastAsia="zh-CN"/>
              </w:rPr>
              <w:t>，</w:t>
            </w:r>
            <w:r>
              <w:t>无异味</w:t>
            </w:r>
          </w:p>
        </w:tc>
        <w:tc>
          <w:tcPr>
            <w:tcW w:w="4094" w:type="dxa"/>
            <w:vMerge w:val="continue"/>
            <w:vAlign w:val="center"/>
          </w:tcPr>
          <w:p w14:paraId="1C674A53">
            <w:pPr>
              <w:pStyle w:val="64"/>
              <w:widowControl w:val="0"/>
              <w:ind w:firstLine="420"/>
            </w:pPr>
          </w:p>
        </w:tc>
      </w:tr>
      <w:tr w14:paraId="0C6B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97" w:type="dxa"/>
            <w:vAlign w:val="center"/>
          </w:tcPr>
          <w:p w14:paraId="73985EA2">
            <w:pPr>
              <w:pStyle w:val="64"/>
              <w:widowControl w:val="0"/>
              <w:ind w:firstLine="0" w:firstLineChars="0"/>
            </w:pPr>
            <w:r>
              <w:rPr>
                <w:rFonts w:hint="eastAsia"/>
              </w:rPr>
              <w:t>状态</w:t>
            </w:r>
          </w:p>
        </w:tc>
        <w:tc>
          <w:tcPr>
            <w:tcW w:w="3480" w:type="dxa"/>
            <w:vAlign w:val="center"/>
          </w:tcPr>
          <w:p w14:paraId="37734F75">
            <w:pPr>
              <w:pStyle w:val="64"/>
              <w:widowControl w:val="0"/>
              <w:ind w:firstLine="0" w:firstLineChars="0"/>
            </w:pPr>
            <w:r>
              <w:t>具有产品应有的状态</w:t>
            </w:r>
            <w:r>
              <w:rPr>
                <w:rFonts w:hint="eastAsia"/>
                <w:lang w:eastAsia="zh-CN"/>
              </w:rPr>
              <w:t>，</w:t>
            </w:r>
            <w:r>
              <w:t>无霉斑、无 变</w:t>
            </w:r>
          </w:p>
          <w:p w14:paraId="5DBC16D7">
            <w:pPr>
              <w:pStyle w:val="64"/>
              <w:widowControl w:val="0"/>
              <w:ind w:firstLine="0" w:firstLineChars="0"/>
            </w:pPr>
            <w:r>
              <w:t>质</w:t>
            </w:r>
            <w:r>
              <w:rPr>
                <w:rFonts w:hint="eastAsia"/>
                <w:lang w:eastAsia="zh-CN"/>
              </w:rPr>
              <w:t>，</w:t>
            </w:r>
            <w:r>
              <w:t>无正常视力可见外来异物</w:t>
            </w:r>
          </w:p>
        </w:tc>
        <w:tc>
          <w:tcPr>
            <w:tcW w:w="4094" w:type="dxa"/>
            <w:vMerge w:val="continue"/>
            <w:vAlign w:val="center"/>
          </w:tcPr>
          <w:p w14:paraId="13C5200F">
            <w:pPr>
              <w:pStyle w:val="64"/>
              <w:widowControl w:val="0"/>
              <w:ind w:firstLine="420"/>
            </w:pPr>
          </w:p>
        </w:tc>
      </w:tr>
    </w:tbl>
    <w:p w14:paraId="1504AA61">
      <w:pPr>
        <w:pStyle w:val="64"/>
        <w:ind w:firstLine="0" w:firstLineChars="0"/>
      </w:pPr>
    </w:p>
    <w:p w14:paraId="6F08F6EB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4.3 理化指标</w:t>
      </w:r>
    </w:p>
    <w:p w14:paraId="45F5919A">
      <w:pPr>
        <w:pStyle w:val="64"/>
        <w:ind w:firstLine="420"/>
        <w:rPr>
          <w:rFonts w:ascii="Times New Roman"/>
        </w:rPr>
      </w:pPr>
      <w:r>
        <w:rPr>
          <w:rFonts w:ascii="Times New Roman"/>
        </w:rPr>
        <w:t>理化指标应符合表 2 的规定。</w:t>
      </w:r>
    </w:p>
    <w:p w14:paraId="78DFA113">
      <w:pPr>
        <w:pStyle w:val="65"/>
        <w:numPr>
          <w:ilvl w:val="2"/>
          <w:numId w:val="0"/>
        </w:numPr>
        <w:spacing w:before="156" w:after="156"/>
        <w:jc w:val="center"/>
      </w:pPr>
      <w:r>
        <w:rPr>
          <w:rFonts w:hint="eastAsia"/>
        </w:rPr>
        <w:t>表 2   理化指标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51C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0" w:type="dxa"/>
            <w:vAlign w:val="center"/>
          </w:tcPr>
          <w:p w14:paraId="363357D4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190" w:type="dxa"/>
            <w:vAlign w:val="center"/>
          </w:tcPr>
          <w:p w14:paraId="6ABD38A7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3191" w:type="dxa"/>
            <w:vAlign w:val="center"/>
          </w:tcPr>
          <w:p w14:paraId="78335A4C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检验方法</w:t>
            </w:r>
          </w:p>
        </w:tc>
      </w:tr>
      <w:tr w14:paraId="3C16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190" w:type="dxa"/>
            <w:tcBorders>
              <w:bottom w:val="nil"/>
            </w:tcBorders>
            <w:vAlign w:val="center"/>
          </w:tcPr>
          <w:p w14:paraId="7FCE71B4">
            <w:pPr>
              <w:pStyle w:val="64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水分/（g/100g）</w:t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14:paraId="2DED1175">
            <w:pPr>
              <w:pStyle w:val="64"/>
              <w:widowControl w:val="0"/>
              <w:ind w:firstLine="0" w:firstLineChars="0"/>
              <w:rPr>
                <w:rFonts w:ascii="Times New Roman"/>
              </w:rPr>
            </w:pPr>
          </w:p>
        </w:tc>
        <w:tc>
          <w:tcPr>
            <w:tcW w:w="3191" w:type="dxa"/>
            <w:vMerge w:val="restart"/>
            <w:vAlign w:val="center"/>
          </w:tcPr>
          <w:p w14:paraId="7AC39423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GB 5009.3</w:t>
            </w:r>
          </w:p>
        </w:tc>
      </w:tr>
      <w:tr w14:paraId="07A5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0" w:type="dxa"/>
            <w:tcBorders>
              <w:top w:val="nil"/>
            </w:tcBorders>
            <w:vAlign w:val="center"/>
          </w:tcPr>
          <w:p w14:paraId="56768A1E">
            <w:pPr>
              <w:pStyle w:val="64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余甘子果干           </w:t>
            </w:r>
            <w:r>
              <w:rPr>
                <w:rFonts w:hint="eastAsia" w:ascii="仿宋" w:hAnsi="仿宋" w:eastAsia="仿宋" w:cs="仿宋"/>
              </w:rPr>
              <w:t xml:space="preserve"> ≤</w:t>
            </w:r>
          </w:p>
        </w:tc>
        <w:tc>
          <w:tcPr>
            <w:tcW w:w="3190" w:type="dxa"/>
            <w:tcBorders>
              <w:top w:val="nil"/>
            </w:tcBorders>
            <w:vAlign w:val="center"/>
          </w:tcPr>
          <w:p w14:paraId="1C9D950A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3191" w:type="dxa"/>
            <w:vMerge w:val="continue"/>
            <w:vAlign w:val="center"/>
          </w:tcPr>
          <w:p w14:paraId="646B68F0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</w:p>
        </w:tc>
      </w:tr>
    </w:tbl>
    <w:p w14:paraId="0C97CAA9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农药残留限量</w:t>
      </w:r>
    </w:p>
    <w:p w14:paraId="24843C06">
      <w:pPr>
        <w:pStyle w:val="65"/>
        <w:numPr>
          <w:ilvl w:val="2"/>
          <w:numId w:val="0"/>
        </w:numPr>
        <w:spacing w:before="156" w:after="156"/>
        <w:ind w:firstLine="420" w:firstLineChars="200"/>
        <w:rPr>
          <w:rFonts w:hint="eastAsia" w:ascii="Times New Roman" w:hAnsi="Times New Roman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农药残留限量应符合 GB 2763 的规定。</w:t>
      </w:r>
    </w:p>
    <w:p w14:paraId="6242D389">
      <w:pPr>
        <w:pStyle w:val="65"/>
        <w:numPr>
          <w:ilvl w:val="2"/>
          <w:numId w:val="0"/>
        </w:numPr>
        <w:spacing w:before="156" w:after="156"/>
        <w:rPr>
          <w:rFonts w:hint="default" w:eastAsia="黑体"/>
          <w:lang w:val="en-US" w:eastAsia="zh-CN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污染物限量</w:t>
      </w:r>
    </w:p>
    <w:p w14:paraId="2FA6A87E">
      <w:pPr>
        <w:pStyle w:val="65"/>
        <w:numPr>
          <w:ilvl w:val="2"/>
          <w:numId w:val="0"/>
        </w:numPr>
        <w:spacing w:before="156" w:after="156"/>
        <w:ind w:firstLine="420" w:firstLineChars="200"/>
        <w:rPr>
          <w:rFonts w:ascii="Times New Roman" w:eastAsia="宋体"/>
        </w:rPr>
      </w:pPr>
      <w:r>
        <w:rPr>
          <w:rFonts w:hint="eastAsia" w:ascii="Times New Roman" w:eastAsia="宋体"/>
        </w:rPr>
        <w:t>污染物限量应符合 GB 2762 的规定。</w:t>
      </w:r>
    </w:p>
    <w:p w14:paraId="495120BB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4.6 微生物限量</w:t>
      </w:r>
    </w:p>
    <w:p w14:paraId="48618491">
      <w:pPr>
        <w:widowControl/>
        <w:jc w:val="left"/>
        <w:rPr>
          <w:rFonts w:hint="eastAsia"/>
        </w:rPr>
      </w:pPr>
      <w:r>
        <w:rPr>
          <w:rFonts w:hint="eastAsia" w:ascii="黑体" w:hAnsi="Times New Roman" w:eastAsia="黑体" w:cs="Times New Roman"/>
          <w:kern w:val="0"/>
          <w:szCs w:val="20"/>
        </w:rPr>
        <w:t xml:space="preserve">4.6.1 </w:t>
      </w:r>
      <w:r>
        <w:rPr>
          <w:rFonts w:hint="eastAsia" w:ascii="Times New Roman" w:hAnsi="Times New Roman" w:eastAsia="宋体" w:cs="Times New Roman"/>
          <w:kern w:val="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>余甘子制品</w:t>
      </w:r>
      <w:r>
        <w:rPr>
          <w:rFonts w:hint="eastAsia" w:ascii="Times New Roman" w:hAnsi="Times New Roman" w:eastAsia="宋体" w:cs="Times New Roman"/>
          <w:kern w:val="0"/>
          <w:szCs w:val="20"/>
        </w:rPr>
        <w:t>致病菌限量应符合 GB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0"/>
        </w:rPr>
        <w:t xml:space="preserve">29921 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>中即食果蔬制品类</w:t>
      </w:r>
      <w:r>
        <w:rPr>
          <w:rFonts w:ascii="Times New Roman" w:hAnsi="Times New Roman" w:eastAsia="宋体" w:cs="Times New Roman"/>
          <w:kern w:val="0"/>
          <w:szCs w:val="20"/>
        </w:rPr>
        <w:t>的规定</w:t>
      </w:r>
      <w:r>
        <w:rPr>
          <w:rFonts w:hint="eastAsia" w:ascii="Times New Roman" w:hAnsi="Times New Roman" w:eastAsia="宋体" w:cs="Times New Roman"/>
          <w:kern w:val="0"/>
          <w:szCs w:val="20"/>
        </w:rPr>
        <w:t>。</w:t>
      </w:r>
    </w:p>
    <w:p w14:paraId="60279853">
      <w:pPr>
        <w:widowControl/>
        <w:jc w:val="left"/>
        <w:rPr>
          <w:rFonts w:hint="eastAsia"/>
        </w:rPr>
      </w:pPr>
      <w:r>
        <w:rPr>
          <w:rFonts w:hint="eastAsia" w:ascii="黑体" w:hAnsi="Times New Roman" w:eastAsia="黑体" w:cs="Times New Roman"/>
          <w:kern w:val="0"/>
          <w:szCs w:val="20"/>
        </w:rPr>
        <w:t xml:space="preserve">4.6.2  </w:t>
      </w:r>
      <w:r>
        <w:rPr>
          <w:rFonts w:hint="eastAsia" w:ascii="Times New Roman" w:hAnsi="Times New Roman" w:eastAsia="宋体" w:cs="Times New Roman"/>
          <w:kern w:val="0"/>
          <w:szCs w:val="20"/>
        </w:rPr>
        <w:t>按罐头工艺生产的余甘子制品</w:t>
      </w:r>
      <w:r>
        <w:rPr>
          <w:rFonts w:hint="eastAsia" w:ascii="Times New Roman" w:hAnsi="Times New Roman" w:eastAsia="宋体" w:cs="Times New Roman"/>
          <w:kern w:val="0"/>
          <w:szCs w:val="20"/>
          <w:lang w:val="en-US" w:eastAsia="zh-CN"/>
        </w:rPr>
        <w:t>应符合罐头食品商业无菌要求，按GB 4789.26 规定的方法检验</w:t>
      </w:r>
      <w:r>
        <w:rPr>
          <w:rFonts w:hint="eastAsia" w:ascii="Times New Roman" w:hAnsi="Times New Roman" w:eastAsia="宋体" w:cs="Times New Roman"/>
          <w:kern w:val="0"/>
          <w:szCs w:val="20"/>
        </w:rPr>
        <w:t>。</w:t>
      </w:r>
    </w:p>
    <w:p w14:paraId="6A0B8656"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黑体" w:hAnsi="Times New Roman" w:eastAsia="黑体" w:cs="Times New Roman"/>
          <w:kern w:val="0"/>
          <w:szCs w:val="20"/>
        </w:rPr>
        <w:t xml:space="preserve">4.6.3  </w:t>
      </w:r>
      <w:r>
        <w:rPr>
          <w:rFonts w:ascii="Times New Roman" w:hAnsi="Times New Roman" w:eastAsia="宋体" w:cs="Times New Roman"/>
          <w:kern w:val="0"/>
          <w:szCs w:val="20"/>
        </w:rPr>
        <w:t>非罐头工艺生产的余甘子制品微生物限量应符合表 3 的规定。</w:t>
      </w:r>
    </w:p>
    <w:p w14:paraId="572D7771">
      <w:pPr>
        <w:rPr>
          <w:rFonts w:hint="eastAsia"/>
        </w:rPr>
      </w:pPr>
    </w:p>
    <w:p w14:paraId="064C20F7">
      <w:pPr>
        <w:pStyle w:val="65"/>
        <w:numPr>
          <w:ilvl w:val="2"/>
          <w:numId w:val="0"/>
        </w:numPr>
        <w:spacing w:before="156" w:after="156"/>
        <w:jc w:val="center"/>
      </w:pPr>
      <w:r>
        <w:rPr>
          <w:rFonts w:hint="eastAsia"/>
        </w:rPr>
        <w:t>表 3   微生物限量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978"/>
        <w:gridCol w:w="978"/>
        <w:gridCol w:w="978"/>
        <w:gridCol w:w="980"/>
        <w:gridCol w:w="2467"/>
      </w:tblGrid>
      <w:tr w14:paraId="343A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0" w:type="dxa"/>
            <w:vAlign w:val="center"/>
          </w:tcPr>
          <w:p w14:paraId="31996153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914" w:type="dxa"/>
            <w:gridSpan w:val="4"/>
            <w:vAlign w:val="center"/>
          </w:tcPr>
          <w:p w14:paraId="64376C77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采样方案</w:t>
            </w:r>
            <w:r>
              <w:rPr>
                <w:rFonts w:hint="eastAsia"/>
                <w:vertAlign w:val="superscript"/>
              </w:rPr>
              <w:t>a</w:t>
            </w:r>
            <w:r>
              <w:rPr>
                <w:rFonts w:hint="eastAsia"/>
              </w:rPr>
              <w:t>及限量</w:t>
            </w:r>
          </w:p>
        </w:tc>
        <w:tc>
          <w:tcPr>
            <w:tcW w:w="2467" w:type="dxa"/>
            <w:vMerge w:val="restart"/>
            <w:vAlign w:val="center"/>
          </w:tcPr>
          <w:p w14:paraId="3D48FDBA">
            <w:pPr>
              <w:pStyle w:val="64"/>
              <w:widowControl w:val="0"/>
              <w:ind w:firstLine="0" w:firstLineChars="0"/>
              <w:jc w:val="center"/>
            </w:pPr>
            <w:r>
              <w:rPr>
                <w:rFonts w:hint="eastAsia"/>
              </w:rPr>
              <w:t>检验方法</w:t>
            </w:r>
          </w:p>
        </w:tc>
      </w:tr>
      <w:tr w14:paraId="18DB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0" w:type="dxa"/>
            <w:vAlign w:val="center"/>
          </w:tcPr>
          <w:p w14:paraId="488C66C8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</w:p>
        </w:tc>
        <w:tc>
          <w:tcPr>
            <w:tcW w:w="978" w:type="dxa"/>
            <w:vAlign w:val="center"/>
          </w:tcPr>
          <w:p w14:paraId="4D4FE571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n</w:t>
            </w:r>
          </w:p>
        </w:tc>
        <w:tc>
          <w:tcPr>
            <w:tcW w:w="978" w:type="dxa"/>
            <w:vAlign w:val="center"/>
          </w:tcPr>
          <w:p w14:paraId="0D21F147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c</w:t>
            </w:r>
          </w:p>
        </w:tc>
        <w:tc>
          <w:tcPr>
            <w:tcW w:w="978" w:type="dxa"/>
            <w:vAlign w:val="center"/>
          </w:tcPr>
          <w:p w14:paraId="6A31E05F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m</w:t>
            </w:r>
          </w:p>
        </w:tc>
        <w:tc>
          <w:tcPr>
            <w:tcW w:w="980" w:type="dxa"/>
            <w:vAlign w:val="center"/>
          </w:tcPr>
          <w:p w14:paraId="16798377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M</w:t>
            </w:r>
          </w:p>
        </w:tc>
        <w:tc>
          <w:tcPr>
            <w:tcW w:w="2467" w:type="dxa"/>
            <w:vMerge w:val="continue"/>
            <w:vAlign w:val="center"/>
          </w:tcPr>
          <w:p w14:paraId="4EB535BC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</w:p>
        </w:tc>
      </w:tr>
      <w:tr w14:paraId="2C51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0" w:type="dxa"/>
            <w:tcBorders>
              <w:bottom w:val="single" w:color="auto" w:sz="4" w:space="0"/>
            </w:tcBorders>
            <w:vAlign w:val="center"/>
          </w:tcPr>
          <w:p w14:paraId="305BAED8">
            <w:pPr>
              <w:pStyle w:val="64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菌落总数/</w:t>
            </w:r>
            <w:r>
              <w:rPr>
                <w:rFonts w:hint="eastAsia" w:ascii="Times New Roman"/>
              </w:rPr>
              <w:t>（</w:t>
            </w:r>
            <w:r>
              <w:rPr>
                <w:rFonts w:ascii="Times New Roman"/>
              </w:rPr>
              <w:t>CFU/g</w:t>
            </w:r>
            <w:r>
              <w:rPr>
                <w:rFonts w:hint="eastAsia" w:ascii="Times New Roman"/>
              </w:rPr>
              <w:t>）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 w14:paraId="484F5DC0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5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 w14:paraId="27CC5AF4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2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 w14:paraId="65CA1210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10</w:t>
            </w:r>
            <w:r>
              <w:rPr>
                <w:rFonts w:hint="eastAsia" w:ascii="Times New Roman"/>
                <w:vertAlign w:val="superscript"/>
              </w:rPr>
              <w:t>3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 w14:paraId="1423DE56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10</w:t>
            </w:r>
            <w:r>
              <w:rPr>
                <w:rFonts w:hint="eastAsia" w:ascii="Times New Roman"/>
                <w:vertAlign w:val="superscript"/>
              </w:rPr>
              <w:t>4</w:t>
            </w:r>
          </w:p>
        </w:tc>
        <w:tc>
          <w:tcPr>
            <w:tcW w:w="2467" w:type="dxa"/>
            <w:vAlign w:val="center"/>
          </w:tcPr>
          <w:p w14:paraId="3F1539A5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GB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>4789.2</w:t>
            </w:r>
          </w:p>
        </w:tc>
      </w:tr>
      <w:tr w14:paraId="02B8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0" w:type="dxa"/>
            <w:tcBorders>
              <w:top w:val="single" w:color="auto" w:sz="4" w:space="0"/>
            </w:tcBorders>
            <w:vAlign w:val="center"/>
          </w:tcPr>
          <w:p w14:paraId="47561BD3">
            <w:pPr>
              <w:pStyle w:val="64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ascii="Times New Roman"/>
              </w:rPr>
              <w:t>大肠菌群/</w:t>
            </w:r>
            <w:r>
              <w:rPr>
                <w:rFonts w:hint="eastAsia" w:ascii="Times New Roman"/>
              </w:rPr>
              <w:t>（</w:t>
            </w:r>
            <w:r>
              <w:rPr>
                <w:rFonts w:ascii="Times New Roman"/>
              </w:rPr>
              <w:t>CFU/g</w:t>
            </w:r>
            <w:r>
              <w:rPr>
                <w:rFonts w:hint="eastAsia" w:ascii="Times New Roman"/>
              </w:rPr>
              <w:t>）</w:t>
            </w:r>
          </w:p>
        </w:tc>
        <w:tc>
          <w:tcPr>
            <w:tcW w:w="978" w:type="dxa"/>
            <w:tcBorders>
              <w:top w:val="single" w:color="auto" w:sz="4" w:space="0"/>
            </w:tcBorders>
            <w:vAlign w:val="center"/>
          </w:tcPr>
          <w:p w14:paraId="4D7652E1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5</w:t>
            </w:r>
          </w:p>
        </w:tc>
        <w:tc>
          <w:tcPr>
            <w:tcW w:w="978" w:type="dxa"/>
            <w:tcBorders>
              <w:top w:val="single" w:color="auto" w:sz="4" w:space="0"/>
            </w:tcBorders>
            <w:vAlign w:val="center"/>
          </w:tcPr>
          <w:p w14:paraId="4F566ACA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</w:tcBorders>
            <w:vAlign w:val="center"/>
          </w:tcPr>
          <w:p w14:paraId="414B942F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10</w:t>
            </w: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 w14:paraId="0B80AFE3">
            <w:pPr>
              <w:pStyle w:val="64"/>
              <w:widowControl w:val="0"/>
              <w:ind w:firstLine="0" w:firstLineChars="0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</w:rPr>
              <w:t>10</w:t>
            </w:r>
            <w:r>
              <w:rPr>
                <w:rFonts w:hint="eastAsia" w:ascii="Times New Roman"/>
                <w:vertAlign w:val="superscript"/>
                <w:lang w:val="en-US" w:eastAsia="zh-CN"/>
              </w:rPr>
              <w:t>2</w:t>
            </w:r>
          </w:p>
        </w:tc>
        <w:tc>
          <w:tcPr>
            <w:tcW w:w="2467" w:type="dxa"/>
            <w:vAlign w:val="center"/>
          </w:tcPr>
          <w:p w14:paraId="62E83EA7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GB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>4789.</w:t>
            </w:r>
            <w:r>
              <w:rPr>
                <w:rFonts w:hint="eastAsia" w:ascii="Times New Roman"/>
              </w:rPr>
              <w:t>3</w:t>
            </w:r>
          </w:p>
        </w:tc>
      </w:tr>
      <w:tr w14:paraId="483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90" w:type="dxa"/>
            <w:vAlign w:val="center"/>
          </w:tcPr>
          <w:p w14:paraId="773E7B06">
            <w:pPr>
              <w:pStyle w:val="64"/>
              <w:widowControl w:val="0"/>
              <w:ind w:firstLine="0" w:firstLineChars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霉菌</w:t>
            </w:r>
            <w:r>
              <w:rPr>
                <w:rFonts w:ascii="Times New Roman"/>
              </w:rPr>
              <w:t>/</w:t>
            </w:r>
            <w:r>
              <w:rPr>
                <w:rFonts w:hint="eastAsia" w:ascii="Times New Roman"/>
              </w:rPr>
              <w:t>（</w:t>
            </w:r>
            <w:r>
              <w:rPr>
                <w:rFonts w:ascii="Times New Roman"/>
              </w:rPr>
              <w:t>CFU/g</w:t>
            </w:r>
            <w:r>
              <w:rPr>
                <w:rFonts w:hint="eastAsia" w:ascii="Times New Roman"/>
              </w:rPr>
              <w:t>）</w:t>
            </w:r>
            <w:r>
              <w:rPr>
                <w:rFonts w:ascii="Times New Roman"/>
              </w:rPr>
              <w:t xml:space="preserve">           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≤</w:t>
            </w:r>
          </w:p>
        </w:tc>
        <w:tc>
          <w:tcPr>
            <w:tcW w:w="3914" w:type="dxa"/>
            <w:gridSpan w:val="4"/>
            <w:vAlign w:val="center"/>
          </w:tcPr>
          <w:p w14:paraId="3302990F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>5</w:t>
            </w:r>
            <w:r>
              <w:rPr>
                <w:rFonts w:hint="eastAsia" w:ascii="Times New Roman"/>
              </w:rPr>
              <w:t>0</w:t>
            </w:r>
          </w:p>
        </w:tc>
        <w:tc>
          <w:tcPr>
            <w:tcW w:w="2467" w:type="dxa"/>
            <w:vAlign w:val="center"/>
          </w:tcPr>
          <w:p w14:paraId="05B69305">
            <w:pPr>
              <w:pStyle w:val="64"/>
              <w:widowControl w:val="0"/>
              <w:ind w:firstLine="0" w:firstLineChars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GB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>4789.</w:t>
            </w:r>
            <w:r>
              <w:rPr>
                <w:rFonts w:hint="eastAsia" w:ascii="Times New Roman"/>
              </w:rPr>
              <w:t>15</w:t>
            </w:r>
          </w:p>
        </w:tc>
      </w:tr>
      <w:tr w14:paraId="1964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1" w:type="dxa"/>
            <w:gridSpan w:val="6"/>
            <w:vAlign w:val="center"/>
          </w:tcPr>
          <w:p w14:paraId="600776C6">
            <w:pPr>
              <w:pStyle w:val="64"/>
              <w:widowControl w:val="0"/>
              <w:ind w:firstLine="420"/>
              <w:rPr>
                <w:rFonts w:ascii="Times New Roman"/>
              </w:rPr>
            </w:pPr>
            <w:r>
              <w:rPr>
                <w:rFonts w:hint="eastAsia" w:ascii="Times New Roman"/>
                <w:vertAlign w:val="superscript"/>
              </w:rPr>
              <w:t>a</w:t>
            </w:r>
            <w:r>
              <w:rPr>
                <w:rFonts w:hint="eastAsia" w:ascii="Times New Roman"/>
              </w:rPr>
              <w:t xml:space="preserve">  </w:t>
            </w:r>
            <w:r>
              <w:rPr>
                <w:rFonts w:ascii="Times New Roman"/>
              </w:rPr>
              <w:t>样品的分析及处理按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>GB 4789.1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>执行。</w:t>
            </w:r>
          </w:p>
        </w:tc>
      </w:tr>
    </w:tbl>
    <w:p w14:paraId="3C2624CC">
      <w:pPr>
        <w:pStyle w:val="65"/>
        <w:numPr>
          <w:ilvl w:val="2"/>
          <w:numId w:val="0"/>
        </w:numPr>
        <w:spacing w:before="156" w:after="156"/>
        <w:rPr>
          <w:rFonts w:ascii="宋体" w:eastAsia="宋体"/>
        </w:rPr>
      </w:pPr>
    </w:p>
    <w:p w14:paraId="1E5E8592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4.7 食品添加剂</w:t>
      </w:r>
    </w:p>
    <w:p w14:paraId="2B36F540">
      <w:pPr>
        <w:pStyle w:val="65"/>
        <w:numPr>
          <w:ilvl w:val="2"/>
          <w:numId w:val="0"/>
        </w:numPr>
        <w:spacing w:before="156" w:after="156"/>
        <w:ind w:firstLine="420" w:firstLineChars="200"/>
        <w:rPr>
          <w:rFonts w:ascii="宋体" w:eastAsia="宋体"/>
        </w:rPr>
      </w:pPr>
      <w:r>
        <w:rPr>
          <w:rFonts w:hint="eastAsia" w:ascii="Times New Roman" w:eastAsia="宋体"/>
        </w:rPr>
        <w:t>食品添加剂的使用应符合 GB 2760 的规定</w:t>
      </w:r>
      <w:r>
        <w:rPr>
          <w:rFonts w:hint="eastAsia" w:ascii="宋体" w:eastAsia="宋体"/>
        </w:rPr>
        <w:t>。</w:t>
      </w:r>
    </w:p>
    <w:p w14:paraId="766B6F77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4.8 标志、标签</w:t>
      </w:r>
    </w:p>
    <w:p w14:paraId="12A0128F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4.8.1 标志</w:t>
      </w:r>
    </w:p>
    <w:p w14:paraId="21F4A1D6">
      <w:pPr>
        <w:pStyle w:val="64"/>
        <w:ind w:firstLine="420"/>
      </w:pPr>
      <w:r>
        <w:rPr>
          <w:rFonts w:hint="eastAsia"/>
        </w:rPr>
        <w:t>包装储运图示标志应符合</w:t>
      </w:r>
      <w:r>
        <w:rPr>
          <w:rFonts w:hint="eastAsia" w:ascii="Times New Roman"/>
        </w:rPr>
        <w:t xml:space="preserve"> GB/T 191 </w:t>
      </w:r>
      <w:r>
        <w:rPr>
          <w:rFonts w:hint="eastAsia"/>
        </w:rPr>
        <w:t>的规定。</w:t>
      </w:r>
    </w:p>
    <w:p w14:paraId="40F156D3">
      <w:pPr>
        <w:pStyle w:val="65"/>
        <w:numPr>
          <w:ilvl w:val="2"/>
          <w:numId w:val="0"/>
        </w:numPr>
        <w:spacing w:before="156" w:after="156"/>
      </w:pPr>
      <w:r>
        <w:rPr>
          <w:rFonts w:hint="eastAsia"/>
        </w:rPr>
        <w:t>4.8.2 标签</w:t>
      </w:r>
    </w:p>
    <w:p w14:paraId="059CAC74">
      <w:pPr>
        <w:pStyle w:val="64"/>
        <w:ind w:firstLine="420"/>
        <w:rPr>
          <w:rFonts w:ascii="Times New Roman"/>
        </w:rPr>
      </w:pPr>
      <w:r>
        <w:rPr>
          <w:rFonts w:hint="eastAsia" w:ascii="Times New Roman"/>
        </w:rPr>
        <w:t>标签上的字迹应准确、完整、清晰，预包装产品标签应符合 GB 7718、GB 28050 的要求。</w:t>
      </w:r>
    </w:p>
    <w:p w14:paraId="6690A2C6">
      <w:pPr>
        <w:pStyle w:val="65"/>
        <w:numPr>
          <w:ilvl w:val="2"/>
          <w:numId w:val="0"/>
        </w:numPr>
        <w:spacing w:before="156" w:after="156"/>
        <w:rPr>
          <w:rFonts w:ascii="宋体" w:eastAsia="宋体"/>
        </w:rPr>
      </w:pPr>
      <w:bookmarkStart w:id="5" w:name="BookMark8"/>
      <w:r>
        <w:rPr>
          <w:rFonts w:hint="eastAsi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102235</wp:posOffset>
            </wp:positionV>
            <wp:extent cx="1485900" cy="317500"/>
            <wp:effectExtent l="0" t="0" r="7620" b="2540"/>
            <wp:wrapNone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 w14:paraId="55C16E74">
      <w:pPr>
        <w:pStyle w:val="64"/>
        <w:ind w:firstLine="0" w:firstLineChars="0"/>
      </w:pPr>
    </w:p>
    <w:sectPr>
      <w:headerReference r:id="rId7" w:type="default"/>
      <w:footerReference r:id="rId8" w:type="default"/>
      <w:pgSz w:w="11906" w:h="16838"/>
      <w:pgMar w:top="1417" w:right="1134" w:bottom="1134" w:left="1417" w:header="850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9F625">
    <w:pPr>
      <w:pStyle w:val="9"/>
      <w:rPr>
        <w:rFonts w:hint="eastAsia"/>
      </w:rPr>
    </w:pPr>
    <w:r>
      <w:rPr>
        <w:rFonts w:ascii="宋体" w:hAnsi="宋体" w:cs="宋体"/>
        <w:bCs/>
      </w:rPr>
      <w:t>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9743">
    <w:pPr>
      <w:pStyle w:val="9"/>
      <w:rPr>
        <w:rFonts w:hint="eastAsia"/>
      </w:rPr>
    </w:pPr>
    <w:r>
      <w:rPr>
        <w:rFonts w:ascii="宋体" w:hAnsi="宋体" w:cs="宋体"/>
        <w:bCs/>
      </w:rPr>
      <w:t>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D1F69">
    <w:pPr>
      <w:pStyle w:val="9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96ED9"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396ED9">
                    <w:pPr>
                      <w:pStyle w:val="9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D90DF">
    <w:pPr>
      <w:jc w:val="right"/>
      <w:rPr>
        <w:rFonts w:hint="eastAsia" w:eastAsiaTheme="minorEastAsia"/>
        <w:lang w:eastAsia="zh-CN"/>
      </w:rPr>
    </w:pPr>
    <w:r>
      <w:rPr>
        <w:rFonts w:hint="eastAsia" w:ascii="黑体" w:hAnsi="黑体" w:cs="黑体"/>
        <w:szCs w:val="21"/>
      </w:rPr>
      <w:t xml:space="preserve">DB44/T </w:t>
    </w:r>
    <w:r>
      <w:rPr>
        <w:rFonts w:ascii="黑体" w:hAnsi="黑体" w:cs="黑体"/>
        <w:szCs w:val="21"/>
      </w:rPr>
      <w:t>****—202</w:t>
    </w:r>
    <w:r>
      <w:rPr>
        <w:rFonts w:hint="eastAsia" w:ascii="黑体" w:hAnsi="黑体" w:cs="黑体"/>
        <w:szCs w:val="21"/>
        <w:lang w:val="en-US" w:eastAsia="zh-CN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E6065">
    <w:pPr>
      <w:jc w:val="right"/>
      <w:rPr>
        <w:rFonts w:hint="eastAsia" w:eastAsiaTheme="minorEastAsia"/>
        <w:lang w:eastAsia="zh-CN"/>
      </w:rPr>
    </w:pPr>
    <w:r>
      <w:rPr>
        <w:rFonts w:hint="eastAsia" w:ascii="黑体" w:hAnsi="黑体" w:cs="黑体"/>
        <w:szCs w:val="21"/>
      </w:rPr>
      <w:t xml:space="preserve">DB44/T </w:t>
    </w:r>
    <w:r>
      <w:rPr>
        <w:rFonts w:ascii="黑体" w:hAnsi="黑体" w:cs="黑体"/>
        <w:szCs w:val="21"/>
      </w:rPr>
      <w:t>****—202</w:t>
    </w:r>
    <w:r>
      <w:rPr>
        <w:rFonts w:hint="eastAsia" w:ascii="黑体" w:hAnsi="黑体" w:cs="黑体"/>
        <w:szCs w:val="21"/>
        <w:lang w:val="en-US" w:eastAsia="zh-CN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93458">
    <w:pPr>
      <w:jc w:val="right"/>
      <w:rPr>
        <w:rFonts w:hint="eastAsia" w:eastAsiaTheme="minorEastAsia"/>
        <w:lang w:eastAsia="zh-CN"/>
      </w:rPr>
    </w:pPr>
    <w:r>
      <w:rPr>
        <w:rFonts w:hint="eastAsia" w:ascii="黑体" w:hAnsi="黑体" w:cs="黑体"/>
        <w:szCs w:val="21"/>
      </w:rPr>
      <w:t xml:space="preserve">DB44/T </w:t>
    </w:r>
    <w:r>
      <w:rPr>
        <w:rFonts w:ascii="黑体" w:hAnsi="黑体" w:cs="黑体"/>
        <w:szCs w:val="21"/>
      </w:rPr>
      <w:t>****—202</w:t>
    </w:r>
    <w:r>
      <w:rPr>
        <w:rFonts w:hint="eastAsia" w:ascii="黑体" w:hAnsi="黑体" w:cs="黑体"/>
        <w:szCs w:val="21"/>
        <w:lang w:val="en-US" w:eastAsia="zh-CN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suff w:val="space"/>
      <w:lvlText w:val="%1 "/>
      <w:lvlJc w:val="left"/>
      <w:rPr>
        <w:rFonts w:hint="default" w:ascii="黑体" w:hAnsi="黑体" w:eastAsia="黑体" w:cs="黑体"/>
        <w:snapToGrid w:val="0"/>
        <w:sz w:val="21"/>
        <w:szCs w:val="21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65"/>
      <w:suff w:val="nothing"/>
      <w:lvlText w:val="%1%2.%3　"/>
      <w:lvlJc w:val="left"/>
      <w:pPr>
        <w:ind w:left="85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YjViYjcxMmNkOWQ0YmNmY2I1MjVmMGVjNDczZDMifQ=="/>
  </w:docVars>
  <w:rsids>
    <w:rsidRoot w:val="00525FCA"/>
    <w:rsid w:val="00011621"/>
    <w:rsid w:val="000331AF"/>
    <w:rsid w:val="00525FCA"/>
    <w:rsid w:val="0070738A"/>
    <w:rsid w:val="007E6C16"/>
    <w:rsid w:val="008D1653"/>
    <w:rsid w:val="008F548D"/>
    <w:rsid w:val="00991482"/>
    <w:rsid w:val="00AE35B7"/>
    <w:rsid w:val="00CC66AF"/>
    <w:rsid w:val="00CF1E78"/>
    <w:rsid w:val="00D16F00"/>
    <w:rsid w:val="00DB500B"/>
    <w:rsid w:val="00DC0B22"/>
    <w:rsid w:val="00E26651"/>
    <w:rsid w:val="00E33232"/>
    <w:rsid w:val="00E90262"/>
    <w:rsid w:val="00F36E21"/>
    <w:rsid w:val="00FB47B8"/>
    <w:rsid w:val="01D947AB"/>
    <w:rsid w:val="01E54008"/>
    <w:rsid w:val="02803014"/>
    <w:rsid w:val="03A72764"/>
    <w:rsid w:val="03DB0660"/>
    <w:rsid w:val="05B44CC5"/>
    <w:rsid w:val="05E019A3"/>
    <w:rsid w:val="061439B5"/>
    <w:rsid w:val="07120145"/>
    <w:rsid w:val="088E3EF3"/>
    <w:rsid w:val="08E9686C"/>
    <w:rsid w:val="09671EA2"/>
    <w:rsid w:val="0A5922E8"/>
    <w:rsid w:val="0B3F575F"/>
    <w:rsid w:val="0BA63302"/>
    <w:rsid w:val="0BC643A6"/>
    <w:rsid w:val="0C3D42AE"/>
    <w:rsid w:val="0C523460"/>
    <w:rsid w:val="0D173678"/>
    <w:rsid w:val="0D3037CB"/>
    <w:rsid w:val="0D405F42"/>
    <w:rsid w:val="0DC21CB9"/>
    <w:rsid w:val="0DF4226C"/>
    <w:rsid w:val="0E913D76"/>
    <w:rsid w:val="0EA11355"/>
    <w:rsid w:val="0F334184"/>
    <w:rsid w:val="0FE865C5"/>
    <w:rsid w:val="10014FAA"/>
    <w:rsid w:val="1037379A"/>
    <w:rsid w:val="10835914"/>
    <w:rsid w:val="114A0BD3"/>
    <w:rsid w:val="11BD5265"/>
    <w:rsid w:val="129C720C"/>
    <w:rsid w:val="131363AF"/>
    <w:rsid w:val="131A3293"/>
    <w:rsid w:val="135D699C"/>
    <w:rsid w:val="13C4457F"/>
    <w:rsid w:val="13E26EA1"/>
    <w:rsid w:val="144D6A10"/>
    <w:rsid w:val="148368D6"/>
    <w:rsid w:val="14CA5CFF"/>
    <w:rsid w:val="15360A41"/>
    <w:rsid w:val="16806D03"/>
    <w:rsid w:val="17B470BE"/>
    <w:rsid w:val="17C84600"/>
    <w:rsid w:val="190148C8"/>
    <w:rsid w:val="199E386A"/>
    <w:rsid w:val="1A3D0648"/>
    <w:rsid w:val="1A8A22DC"/>
    <w:rsid w:val="1AEF6A73"/>
    <w:rsid w:val="1B9E7E6B"/>
    <w:rsid w:val="1C453088"/>
    <w:rsid w:val="1D927B8A"/>
    <w:rsid w:val="1DC835AB"/>
    <w:rsid w:val="1E2739CC"/>
    <w:rsid w:val="1E4654EC"/>
    <w:rsid w:val="1E5F5CBE"/>
    <w:rsid w:val="1E9F5EE9"/>
    <w:rsid w:val="1EDA5344"/>
    <w:rsid w:val="1EE12DE6"/>
    <w:rsid w:val="1F9957E4"/>
    <w:rsid w:val="20B81A8C"/>
    <w:rsid w:val="20F42121"/>
    <w:rsid w:val="20F9528D"/>
    <w:rsid w:val="2355694E"/>
    <w:rsid w:val="235964B1"/>
    <w:rsid w:val="242A6A39"/>
    <w:rsid w:val="24831FDA"/>
    <w:rsid w:val="27383550"/>
    <w:rsid w:val="27D83146"/>
    <w:rsid w:val="28321134"/>
    <w:rsid w:val="28452A8D"/>
    <w:rsid w:val="285A344B"/>
    <w:rsid w:val="287C121A"/>
    <w:rsid w:val="289A6582"/>
    <w:rsid w:val="2A125EC5"/>
    <w:rsid w:val="2AC073E7"/>
    <w:rsid w:val="2B4042C8"/>
    <w:rsid w:val="2B5446D0"/>
    <w:rsid w:val="2BB807BB"/>
    <w:rsid w:val="2BDA2E28"/>
    <w:rsid w:val="2BDE1A0B"/>
    <w:rsid w:val="2BF71372"/>
    <w:rsid w:val="2C5F3D95"/>
    <w:rsid w:val="2E204D3E"/>
    <w:rsid w:val="2E7C0C48"/>
    <w:rsid w:val="2E871C59"/>
    <w:rsid w:val="2F0B154A"/>
    <w:rsid w:val="2F1B5E1E"/>
    <w:rsid w:val="2F1C6E0B"/>
    <w:rsid w:val="2F8B290C"/>
    <w:rsid w:val="2FA07EE4"/>
    <w:rsid w:val="2FD935ED"/>
    <w:rsid w:val="32191E0F"/>
    <w:rsid w:val="32DC19B9"/>
    <w:rsid w:val="32FF4F22"/>
    <w:rsid w:val="337E22EA"/>
    <w:rsid w:val="34A8074F"/>
    <w:rsid w:val="351F3D24"/>
    <w:rsid w:val="352F5DAE"/>
    <w:rsid w:val="358B263D"/>
    <w:rsid w:val="35CC45F8"/>
    <w:rsid w:val="36981915"/>
    <w:rsid w:val="36CD4475"/>
    <w:rsid w:val="373A0C1E"/>
    <w:rsid w:val="37EA2644"/>
    <w:rsid w:val="385D7481"/>
    <w:rsid w:val="38C5276A"/>
    <w:rsid w:val="38D27FE0"/>
    <w:rsid w:val="3A1A4D37"/>
    <w:rsid w:val="3B257B88"/>
    <w:rsid w:val="3B4C183B"/>
    <w:rsid w:val="3C480988"/>
    <w:rsid w:val="3C5556EF"/>
    <w:rsid w:val="3D2263DC"/>
    <w:rsid w:val="3DB17760"/>
    <w:rsid w:val="3EAD6ADE"/>
    <w:rsid w:val="3F2E142E"/>
    <w:rsid w:val="3F823162"/>
    <w:rsid w:val="40301595"/>
    <w:rsid w:val="408D6263"/>
    <w:rsid w:val="41361DF3"/>
    <w:rsid w:val="42142124"/>
    <w:rsid w:val="42A72EE0"/>
    <w:rsid w:val="4320516C"/>
    <w:rsid w:val="432F3601"/>
    <w:rsid w:val="434F77FF"/>
    <w:rsid w:val="43C30D4A"/>
    <w:rsid w:val="4461674D"/>
    <w:rsid w:val="45B5359D"/>
    <w:rsid w:val="472739AC"/>
    <w:rsid w:val="48476FE9"/>
    <w:rsid w:val="4924528A"/>
    <w:rsid w:val="4A160199"/>
    <w:rsid w:val="4C820C46"/>
    <w:rsid w:val="4DC42B98"/>
    <w:rsid w:val="4EAF162A"/>
    <w:rsid w:val="4EFE5D8C"/>
    <w:rsid w:val="4EFE72AF"/>
    <w:rsid w:val="4F5166DC"/>
    <w:rsid w:val="502A762A"/>
    <w:rsid w:val="505A77E4"/>
    <w:rsid w:val="507039C2"/>
    <w:rsid w:val="509D6294"/>
    <w:rsid w:val="50BE3DA5"/>
    <w:rsid w:val="50DB13D2"/>
    <w:rsid w:val="516C1963"/>
    <w:rsid w:val="533D4650"/>
    <w:rsid w:val="53446469"/>
    <w:rsid w:val="537A0385"/>
    <w:rsid w:val="54482BA1"/>
    <w:rsid w:val="544A4A25"/>
    <w:rsid w:val="550D4D66"/>
    <w:rsid w:val="55164621"/>
    <w:rsid w:val="556A671B"/>
    <w:rsid w:val="55A219DE"/>
    <w:rsid w:val="566B532F"/>
    <w:rsid w:val="56D617F5"/>
    <w:rsid w:val="572825E0"/>
    <w:rsid w:val="579B3999"/>
    <w:rsid w:val="59452184"/>
    <w:rsid w:val="5951464D"/>
    <w:rsid w:val="59883E35"/>
    <w:rsid w:val="5AED7BD2"/>
    <w:rsid w:val="5AFC3CC2"/>
    <w:rsid w:val="5B1E422F"/>
    <w:rsid w:val="5B2555BE"/>
    <w:rsid w:val="5B5E63DA"/>
    <w:rsid w:val="5D7C523D"/>
    <w:rsid w:val="5D8808CC"/>
    <w:rsid w:val="62B1716A"/>
    <w:rsid w:val="63232990"/>
    <w:rsid w:val="63DE7F0B"/>
    <w:rsid w:val="65183A9D"/>
    <w:rsid w:val="653A7EB8"/>
    <w:rsid w:val="662607E8"/>
    <w:rsid w:val="6864524C"/>
    <w:rsid w:val="69A949A2"/>
    <w:rsid w:val="6A415640"/>
    <w:rsid w:val="6A766BD9"/>
    <w:rsid w:val="6ABB6027"/>
    <w:rsid w:val="6BFA00AB"/>
    <w:rsid w:val="6C293447"/>
    <w:rsid w:val="6C9E6F7E"/>
    <w:rsid w:val="6CAC6176"/>
    <w:rsid w:val="6D2A511A"/>
    <w:rsid w:val="6DB66549"/>
    <w:rsid w:val="6E355EE3"/>
    <w:rsid w:val="6F104521"/>
    <w:rsid w:val="6F742218"/>
    <w:rsid w:val="6FBE3C62"/>
    <w:rsid w:val="7072709A"/>
    <w:rsid w:val="709541F4"/>
    <w:rsid w:val="70A77558"/>
    <w:rsid w:val="70BB1864"/>
    <w:rsid w:val="70D171F6"/>
    <w:rsid w:val="71731C06"/>
    <w:rsid w:val="71A54F3B"/>
    <w:rsid w:val="72255807"/>
    <w:rsid w:val="72313E4C"/>
    <w:rsid w:val="72822E9E"/>
    <w:rsid w:val="72860731"/>
    <w:rsid w:val="72C874C9"/>
    <w:rsid w:val="730103DF"/>
    <w:rsid w:val="74AF129E"/>
    <w:rsid w:val="74F636CF"/>
    <w:rsid w:val="7577036C"/>
    <w:rsid w:val="762A1882"/>
    <w:rsid w:val="7756646D"/>
    <w:rsid w:val="78B74ABD"/>
    <w:rsid w:val="79DF0BD6"/>
    <w:rsid w:val="7C1C080B"/>
    <w:rsid w:val="7C5C02BC"/>
    <w:rsid w:val="7C7927C7"/>
    <w:rsid w:val="7DBF6D54"/>
    <w:rsid w:val="7F291B64"/>
    <w:rsid w:val="7FA91A6A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link w:val="23"/>
    <w:autoRedefine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6">
    <w:name w:val="toc 5"/>
    <w:autoRedefine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400" w:firstLineChars="400"/>
    </w:pPr>
    <w:rPr>
      <w:rFonts w:ascii="宋体" w:hAnsi="宋体" w:eastAsia="宋体" w:cs="Times New Roman"/>
      <w:lang w:val="en-US" w:eastAsia="zh-CN" w:bidi="ar-SA"/>
    </w:rPr>
  </w:style>
  <w:style w:type="paragraph" w:styleId="7">
    <w:name w:val="toc 3"/>
    <w:autoRedefine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200" w:firstLineChars="200"/>
    </w:pPr>
    <w:rPr>
      <w:rFonts w:ascii="宋体" w:hAnsi="宋体" w:eastAsia="宋体" w:cs="Times New Roman"/>
      <w:lang w:val="en-US" w:eastAsia="zh-CN" w:bidi="ar-SA"/>
    </w:rPr>
  </w:style>
  <w:style w:type="paragraph" w:styleId="8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jc w:val="right"/>
    </w:pPr>
    <w:rPr>
      <w:sz w:val="18"/>
      <w:szCs w:val="18"/>
    </w:rPr>
  </w:style>
  <w:style w:type="paragraph" w:styleId="10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autoRedefine/>
    <w:semiHidden/>
    <w:qFormat/>
    <w:uiPriority w:val="0"/>
    <w:pPr>
      <w:tabs>
        <w:tab w:val="right" w:leader="dot" w:pos="9241"/>
      </w:tabs>
      <w:wordWrap w:val="0"/>
      <w:autoSpaceDE w:val="0"/>
      <w:autoSpaceDN w:val="0"/>
      <w:spacing w:before="25" w:beforeLines="25" w:after="25" w:afterLines="25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2">
    <w:name w:val="toc 4"/>
    <w:autoRedefine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300" w:firstLineChars="300"/>
    </w:pPr>
    <w:rPr>
      <w:rFonts w:ascii="宋体" w:hAnsi="宋体" w:eastAsia="宋体" w:cs="Times New Roman"/>
      <w:lang w:val="en-US" w:eastAsia="zh-CN" w:bidi="ar-SA"/>
    </w:rPr>
  </w:style>
  <w:style w:type="paragraph" w:styleId="13">
    <w:name w:val="footnote text"/>
    <w:autoRedefine/>
    <w:qFormat/>
    <w:uiPriority w:val="0"/>
    <w:pPr>
      <w:snapToGrid w:val="0"/>
      <w:ind w:left="635" w:hanging="272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14">
    <w:name w:val="toc 2"/>
    <w:autoRedefine/>
    <w:semiHidden/>
    <w:qFormat/>
    <w:uiPriority w:val="0"/>
    <w:pPr>
      <w:tabs>
        <w:tab w:val="right" w:leader="dot" w:pos="9241"/>
      </w:tabs>
      <w:wordWrap w:val="0"/>
      <w:autoSpaceDE w:val="0"/>
      <w:autoSpaceDN w:val="0"/>
      <w:ind w:firstLine="102" w:firstLineChars="10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styleId="1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6">
    <w:name w:val="annotation subject"/>
    <w:basedOn w:val="5"/>
    <w:next w:val="5"/>
    <w:link w:val="31"/>
    <w:autoRedefine/>
    <w:semiHidden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0" w:type="dxa"/>
        <w:right w:w="100" w:type="dxa"/>
      </w:tblCellMar>
    </w:tblPr>
  </w:style>
  <w:style w:type="character" w:styleId="20">
    <w:name w:val="Hyperlink"/>
    <w:autoRedefine/>
    <w:qFormat/>
    <w:uiPriority w:val="99"/>
    <w:rPr>
      <w:color w:val="0000FF"/>
      <w:spacing w:val="0"/>
      <w:w w:val="100"/>
      <w:szCs w:val="21"/>
      <w:u w:val="single"/>
    </w:rPr>
  </w:style>
  <w:style w:type="character" w:styleId="21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styleId="22">
    <w:name w:val="footnote reference"/>
    <w:basedOn w:val="23"/>
    <w:autoRedefine/>
    <w:semiHidden/>
    <w:unhideWhenUsed/>
    <w:qFormat/>
    <w:uiPriority w:val="99"/>
    <w:rPr>
      <w:sz w:val="18"/>
      <w:szCs w:val="18"/>
      <w:vertAlign w:val="superscript"/>
    </w:rPr>
  </w:style>
  <w:style w:type="character" w:customStyle="1" w:styleId="23">
    <w:name w:val="题注 字符"/>
    <w:basedOn w:val="19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2"/>
    <w:autoRedefine/>
    <w:qFormat/>
    <w:uiPriority w:val="0"/>
    <w:rPr>
      <w:b/>
      <w:kern w:val="44"/>
      <w:sz w:val="44"/>
      <w:szCs w:val="24"/>
    </w:rPr>
  </w:style>
  <w:style w:type="character" w:customStyle="1" w:styleId="25">
    <w:name w:val="标题 2 字符"/>
    <w:basedOn w:val="19"/>
    <w:link w:val="3"/>
    <w:autoRedefine/>
    <w:qFormat/>
    <w:uiPriority w:val="0"/>
    <w:rPr>
      <w:rFonts w:ascii="Arial" w:hAnsi="Arial" w:eastAsia="黑体"/>
      <w:b/>
      <w:sz w:val="32"/>
      <w:szCs w:val="24"/>
    </w:rPr>
  </w:style>
  <w:style w:type="character" w:customStyle="1" w:styleId="26">
    <w:name w:val="页眉 字符"/>
    <w:basedOn w:val="19"/>
    <w:link w:val="10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28"/>
    <w:autoRedefine/>
    <w:qFormat/>
    <w:uiPriority w:val="99"/>
    <w:rPr>
      <w:sz w:val="18"/>
      <w:szCs w:val="18"/>
    </w:rPr>
  </w:style>
  <w:style w:type="paragraph" w:customStyle="1" w:styleId="28">
    <w:name w:val="图脚注"/>
    <w:link w:val="27"/>
    <w:autoRedefine/>
    <w:unhideWhenUsed/>
    <w:qFormat/>
    <w:uiPriority w:val="99"/>
    <w:pPr>
      <w:wordWrap w:val="0"/>
      <w:autoSpaceDE w:val="0"/>
      <w:autoSpaceDN w:val="0"/>
      <w:ind w:left="765" w:leftChars="300" w:hanging="135" w:hangingChars="75"/>
    </w:pPr>
    <w:rPr>
      <w:rFonts w:hint="eastAsia" w:ascii="宋体" w:hAnsi="宋体" w:eastAsia="宋体" w:cs="宋体"/>
      <w:sz w:val="18"/>
      <w:szCs w:val="18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0">
    <w:name w:val="批注文字 字符"/>
    <w:basedOn w:val="19"/>
    <w:link w:val="5"/>
    <w:autoRedefine/>
    <w:semiHidden/>
    <w:qFormat/>
    <w:uiPriority w:val="99"/>
    <w:rPr>
      <w:szCs w:val="24"/>
    </w:rPr>
  </w:style>
  <w:style w:type="character" w:customStyle="1" w:styleId="31">
    <w:name w:val="批注主题 字符"/>
    <w:basedOn w:val="30"/>
    <w:link w:val="16"/>
    <w:autoRedefine/>
    <w:semiHidden/>
    <w:qFormat/>
    <w:uiPriority w:val="99"/>
    <w:rPr>
      <w:b/>
      <w:bCs/>
      <w:szCs w:val="24"/>
    </w:rPr>
  </w:style>
  <w:style w:type="character" w:customStyle="1" w:styleId="32">
    <w:name w:val="批注框文本 字符"/>
    <w:basedOn w:val="19"/>
    <w:link w:val="8"/>
    <w:autoRedefine/>
    <w:semiHidden/>
    <w:qFormat/>
    <w:uiPriority w:val="99"/>
    <w:rPr>
      <w:sz w:val="18"/>
      <w:szCs w:val="18"/>
    </w:rPr>
  </w:style>
  <w:style w:type="paragraph" w:customStyle="1" w:styleId="33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autoRedefine/>
    <w:qFormat/>
    <w:uiPriority w:val="0"/>
    <w:pPr>
      <w:wordWrap w:val="0"/>
      <w:autoSpaceDE w:val="0"/>
      <w:autoSpaceDN w:val="0"/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正文标题"/>
    <w:autoRedefine/>
    <w:qFormat/>
    <w:uiPriority w:val="0"/>
    <w:pPr>
      <w:keepNext/>
      <w:pageBreakBefore/>
      <w:wordWrap w:val="0"/>
      <w:autoSpaceDE w:val="0"/>
      <w:autoSpaceDN w:val="0"/>
      <w:spacing w:before="360" w:after="440" w:line="360" w:lineRule="auto"/>
      <w:jc w:val="center"/>
    </w:pPr>
    <w:rPr>
      <w:rFonts w:ascii="黑体" w:hAnsi="黑体" w:eastAsia="黑体" w:cstheme="minorBidi"/>
      <w:color w:val="000000"/>
      <w:szCs w:val="22"/>
      <w:lang w:val="en-US" w:eastAsia="en-US" w:bidi="ar-SA"/>
    </w:rPr>
  </w:style>
  <w:style w:type="paragraph" w:customStyle="1" w:styleId="36">
    <w:name w:val="目次标题"/>
    <w:autoRedefine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3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37">
    <w:name w:val="目次标题级"/>
    <w:next w:val="2"/>
    <w:autoRedefine/>
    <w:qFormat/>
    <w:uiPriority w:val="39"/>
    <w:pPr>
      <w:tabs>
        <w:tab w:val="right" w:leader="dot" w:pos="9241"/>
      </w:tabs>
      <w:wordWrap w:val="0"/>
      <w:spacing w:before="25" w:beforeLines="25" w:after="25" w:afterLines="25"/>
      <w:outlineLvl w:val="0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paragraph" w:customStyle="1" w:styleId="38">
    <w:name w:val="目次第1级"/>
    <w:next w:val="2"/>
    <w:autoRedefine/>
    <w:qFormat/>
    <w:uiPriority w:val="39"/>
    <w:pPr>
      <w:tabs>
        <w:tab w:val="right" w:leader="dot" w:pos="9241"/>
      </w:tabs>
      <w:wordWrap w:val="0"/>
      <w:spacing w:before="25" w:beforeLines="25" w:after="25" w:afterLines="25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39">
    <w:name w:val="目次第2级"/>
    <w:autoRedefine/>
    <w:qFormat/>
    <w:uiPriority w:val="39"/>
    <w:pPr>
      <w:tabs>
        <w:tab w:val="right" w:leader="dot" w:pos="9241"/>
      </w:tabs>
      <w:wordWrap w:val="0"/>
      <w:ind w:firstLine="100" w:firstLineChars="1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0">
    <w:name w:val="目次第3级"/>
    <w:autoRedefine/>
    <w:qFormat/>
    <w:uiPriority w:val="39"/>
    <w:pPr>
      <w:tabs>
        <w:tab w:val="right" w:leader="dot" w:pos="9241"/>
      </w:tabs>
      <w:wordWrap w:val="0"/>
      <w:ind w:firstLine="200" w:firstLineChars="2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1">
    <w:name w:val="目次第4级"/>
    <w:autoRedefine/>
    <w:qFormat/>
    <w:uiPriority w:val="39"/>
    <w:pPr>
      <w:tabs>
        <w:tab w:val="right" w:leader="dot" w:pos="9241"/>
      </w:tabs>
      <w:wordWrap w:val="0"/>
      <w:ind w:firstLine="300" w:firstLineChars="3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2">
    <w:name w:val="目次第5级"/>
    <w:autoRedefine/>
    <w:qFormat/>
    <w:uiPriority w:val="39"/>
    <w:pPr>
      <w:tabs>
        <w:tab w:val="right" w:leader="dot" w:pos="9241"/>
      </w:tabs>
      <w:wordWrap w:val="0"/>
      <w:ind w:firstLine="400" w:firstLineChars="4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3">
    <w:name w:val="目次第6级"/>
    <w:autoRedefine/>
    <w:qFormat/>
    <w:uiPriority w:val="39"/>
    <w:pPr>
      <w:tabs>
        <w:tab w:val="right" w:leader="dot" w:pos="9241"/>
      </w:tabs>
      <w:wordWrap w:val="0"/>
      <w:ind w:firstLine="500" w:firstLineChars="5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4">
    <w:name w:val="目次第7级"/>
    <w:autoRedefine/>
    <w:qFormat/>
    <w:uiPriority w:val="39"/>
    <w:pPr>
      <w:tabs>
        <w:tab w:val="right" w:leader="dot" w:pos="9241"/>
      </w:tabs>
      <w:wordWrap w:val="0"/>
      <w:ind w:firstLine="600" w:firstLineChars="6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5">
    <w:name w:val="目次第8级"/>
    <w:autoRedefine/>
    <w:qFormat/>
    <w:uiPriority w:val="39"/>
    <w:pPr>
      <w:tabs>
        <w:tab w:val="right" w:leader="dot" w:pos="9241"/>
      </w:tabs>
      <w:wordWrap w:val="0"/>
      <w:ind w:firstLine="700" w:firstLineChars="70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customStyle="1" w:styleId="46">
    <w:name w:val="目次、索引正文"/>
    <w:autoRedefine/>
    <w:qFormat/>
    <w:uiPriority w:val="0"/>
    <w:pPr>
      <w:spacing w:line="320" w:lineRule="exact"/>
      <w:jc w:val="both"/>
    </w:pPr>
    <w:rPr>
      <w:rFonts w:ascii="宋体" w:hAnsi="宋体" w:eastAsia="宋体" w:cs="宋体"/>
      <w:sz w:val="21"/>
      <w:lang w:val="en-US" w:eastAsia="zh-CN" w:bidi="ar-SA"/>
    </w:rPr>
  </w:style>
  <w:style w:type="character" w:customStyle="1" w:styleId="47">
    <w:name w:val="书籍标题1"/>
    <w:basedOn w:val="19"/>
    <w:autoRedefine/>
    <w:qFormat/>
    <w:uiPriority w:val="33"/>
    <w:rPr>
      <w:b/>
      <w:bCs/>
      <w:smallCaps/>
      <w:spacing w:val="5"/>
    </w:rPr>
  </w:style>
  <w:style w:type="paragraph" w:customStyle="1" w:styleId="48">
    <w:name w:val="文档名称标题"/>
    <w:autoRedefine/>
    <w:qFormat/>
    <w:uiPriority w:val="0"/>
    <w:pPr>
      <w:wordWrap w:val="0"/>
      <w:autoSpaceDE w:val="0"/>
      <w:autoSpaceDN w:val="0"/>
      <w:spacing w:before="640" w:after="560" w:line="460" w:lineRule="exact"/>
      <w:jc w:val="center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49">
    <w:name w:val="章节页面标题"/>
    <w:autoRedefine/>
    <w:qFormat/>
    <w:uiPriority w:val="0"/>
    <w:pPr>
      <w:wordWrap w:val="0"/>
      <w:autoSpaceDE w:val="0"/>
      <w:autoSpaceDN w:val="0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szCs w:val="32"/>
      <w:lang w:val="en-US" w:eastAsia="zh-CN" w:bidi="ar-SA"/>
    </w:rPr>
  </w:style>
  <w:style w:type="paragraph" w:customStyle="1" w:styleId="50">
    <w:name w:val="附录页面标题"/>
    <w:autoRedefine/>
    <w:qFormat/>
    <w:uiPriority w:val="0"/>
    <w:pPr>
      <w:wordWrap w:val="0"/>
      <w:autoSpaceDE w:val="0"/>
      <w:autoSpaceDN w:val="0"/>
      <w:spacing w:before="640" w:after="280"/>
      <w:contextualSpacing/>
      <w:jc w:val="center"/>
    </w:pPr>
    <w:rPr>
      <w:rFonts w:ascii="黑体" w:hAnsi="黑体" w:eastAsia="黑体" w:cs="黑体"/>
      <w:sz w:val="21"/>
      <w:szCs w:val="21"/>
      <w:lang w:val="en-US" w:eastAsia="zh-CN" w:bidi="ar-SA"/>
    </w:rPr>
  </w:style>
  <w:style w:type="paragraph" w:customStyle="1" w:styleId="51">
    <w:name w:val="其他页面标题"/>
    <w:autoRedefine/>
    <w:qFormat/>
    <w:uiPriority w:val="0"/>
    <w:pPr>
      <w:wordWrap w:val="0"/>
      <w:autoSpaceDE w:val="0"/>
      <w:autoSpaceDN w:val="0"/>
      <w:spacing w:before="640" w:after="200"/>
      <w:jc w:val="center"/>
      <w:outlineLvl w:val="0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2">
    <w:name w:val="段落"/>
    <w:autoRedefine/>
    <w:qFormat/>
    <w:uiPriority w:val="0"/>
    <w:pPr>
      <w:autoSpaceDE w:val="0"/>
      <w:autoSpaceDN w:val="0"/>
      <w:ind w:firstLine="420" w:firstLine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一级首章标题"/>
    <w:autoRedefine/>
    <w:qFormat/>
    <w:uiPriority w:val="0"/>
    <w:pPr>
      <w:wordWrap w:val="0"/>
      <w:autoSpaceDE w:val="0"/>
      <w:autoSpaceDN w:val="0"/>
      <w:snapToGrid w:val="0"/>
      <w:spacing w:after="100" w:afterLines="10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4">
    <w:name w:val="二级首章标题"/>
    <w:autoRedefine/>
    <w:qFormat/>
    <w:uiPriority w:val="0"/>
    <w:pPr>
      <w:wordWrap w:val="0"/>
      <w:autoSpaceDE w:val="0"/>
      <w:autoSpaceDN w:val="0"/>
      <w:snapToGrid w:val="0"/>
      <w:spacing w:after="50" w:afterLines="5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5">
    <w:name w:val="一级章标题"/>
    <w:autoRedefine/>
    <w:qFormat/>
    <w:uiPriority w:val="0"/>
    <w:pPr>
      <w:wordWrap w:val="0"/>
      <w:autoSpaceDE w:val="0"/>
      <w:autoSpaceDN w:val="0"/>
      <w:snapToGrid w:val="0"/>
      <w:spacing w:before="312" w:beforeLines="100" w:after="312" w:afterLines="10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6">
    <w:name w:val="章节条款"/>
    <w:autoRedefine/>
    <w:qFormat/>
    <w:uiPriority w:val="0"/>
    <w:pPr>
      <w:wordWrap w:val="0"/>
      <w:autoSpaceDE w:val="0"/>
      <w:autoSpaceDN w:val="0"/>
      <w:snapToGrid w:val="0"/>
      <w:spacing w:before="50" w:beforeLines="50" w:after="50" w:afterLines="50"/>
      <w:jc w:val="both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57">
    <w:name w:val="章标题-无条题"/>
    <w:autoRedefine/>
    <w:qFormat/>
    <w:uiPriority w:val="0"/>
    <w:pPr>
      <w:wordWrap w:val="0"/>
      <w:autoSpaceDE w:val="0"/>
      <w:autoSpaceDN w:val="0"/>
    </w:pPr>
    <w:rPr>
      <w:rFonts w:ascii="宋体" w:hAnsi="宋体" w:eastAsia="宋体" w:cs="Times New Roman"/>
      <w:lang w:val="en-US" w:eastAsia="zh-CN" w:bidi="ar-SA"/>
    </w:rPr>
  </w:style>
  <w:style w:type="paragraph" w:customStyle="1" w:styleId="58">
    <w:name w:val="附录章标题-有条题"/>
    <w:autoRedefine/>
    <w:qFormat/>
    <w:uiPriority w:val="0"/>
    <w:pPr>
      <w:wordWrap w:val="0"/>
      <w:autoSpaceDE w:val="0"/>
      <w:autoSpaceDN w:val="0"/>
      <w:snapToGrid w:val="0"/>
      <w:spacing w:before="50" w:beforeLines="50" w:after="50" w:afterLines="50"/>
    </w:pPr>
    <w:rPr>
      <w:rFonts w:ascii="宋体" w:hAnsi="宋体" w:eastAsia="宋体" w:cs="Times New Roman"/>
      <w:lang w:val="en-US" w:eastAsia="zh-CN" w:bidi="ar-SA"/>
    </w:rPr>
  </w:style>
  <w:style w:type="paragraph" w:customStyle="1" w:styleId="59">
    <w:name w:val="表标题"/>
    <w:autoRedefine/>
    <w:qFormat/>
    <w:uiPriority w:val="0"/>
    <w:pPr>
      <w:wordWrap w:val="0"/>
      <w:autoSpaceDE w:val="0"/>
      <w:autoSpaceDN w:val="0"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60">
    <w:name w:val="图标题"/>
    <w:autoRedefine/>
    <w:qFormat/>
    <w:uiPriority w:val="0"/>
    <w:pPr>
      <w:wordWrap w:val="0"/>
      <w:autoSpaceDE w:val="0"/>
      <w:autoSpaceDN w:val="0"/>
      <w:spacing w:before="50" w:beforeLines="50" w:after="50" w:afterLines="50"/>
      <w:jc w:val="center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61">
    <w:name w:val="公式居中"/>
    <w:next w:val="2"/>
    <w:autoRedefine/>
    <w:qFormat/>
    <w:uiPriority w:val="0"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snapToGrid w:val="0"/>
      <w:jc w:val="center"/>
      <w:textAlignment w:val="center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2">
    <w:name w:val="终结线"/>
    <w:autoRedefine/>
    <w:qFormat/>
    <w:uiPriority w:val="0"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jc w:val="center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5">
    <w:name w:val="标准文件_一级条标题"/>
    <w:basedOn w:val="66"/>
    <w:next w:val="64"/>
    <w:qFormat/>
    <w:uiPriority w:val="0"/>
    <w:pPr>
      <w:numPr>
        <w:ilvl w:val="2"/>
      </w:numPr>
      <w:spacing w:before="50" w:beforeLines="50" w:after="50" w:afterLines="50"/>
      <w:ind w:left="0"/>
      <w:outlineLvl w:val="1"/>
    </w:pPr>
  </w:style>
  <w:style w:type="paragraph" w:customStyle="1" w:styleId="66">
    <w:name w:val="标准文件_章标题"/>
    <w:next w:val="64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7">
    <w:name w:val="章标题"/>
    <w:qFormat/>
    <w:uiPriority w:val="0"/>
    <w:pPr>
      <w:wordWrap w:val="0"/>
      <w:spacing w:before="312" w:beforeLines="100" w:after="312" w:afterLines="100"/>
      <w:jc w:val="both"/>
    </w:pPr>
    <w:rPr>
      <w:rFonts w:ascii="黑体" w:hAnsi="黑体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1447</Words>
  <Characters>1787</Characters>
  <Lines>18</Lines>
  <Paragraphs>5</Paragraphs>
  <TotalTime>2087</TotalTime>
  <ScaleCrop>false</ScaleCrop>
  <LinksUpToDate>false</LinksUpToDate>
  <CharactersWithSpaces>1995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2021-11-06T13:46:00Z</dcterms:created>
  <dc:creator>sam</dc:creator>
  <cp:lastModifiedBy>Fanny</cp:lastModifiedBy>
  <dcterms:modified xsi:type="dcterms:W3CDTF">2025-07-15T12:17:33Z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09C2F31941A146988A540502273B3314</vt:lpwstr>
  </property>
  <property fmtid="{D5CDD505-2E9C-101B-9397-08002B2CF9AE}" pid="4" name="KSOTemplateDocerSaveRecord">
    <vt:lpwstr>eyJoZGlkIjoiYWM5NTkwMWE3OGJhYmQzMWNiMGYxNjJiOTExNjA1NjQiLCJ1c2VySWQiOiI0MTAwNTA1MDIifQ==</vt:lpwstr>
  </property>
</Properties>
</file>