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37057">
      <w:pPr>
        <w:spacing w:line="820" w:lineRule="exact"/>
        <w:jc w:val="center"/>
        <w:rPr>
          <w:rFonts w:hint="eastAsia" w:eastAsia="方正小标宋简体"/>
          <w:sz w:val="72"/>
          <w:szCs w:val="72"/>
          <w:lang w:val="en-US" w:eastAsia="zh-CN"/>
        </w:rPr>
      </w:pPr>
    </w:p>
    <w:p w14:paraId="7AADF356">
      <w:pPr>
        <w:spacing w:line="820" w:lineRule="exact"/>
        <w:jc w:val="center"/>
        <w:rPr>
          <w:rFonts w:eastAsia="方正小标宋简体"/>
          <w:sz w:val="72"/>
          <w:szCs w:val="72"/>
        </w:rPr>
      </w:pPr>
      <w:r>
        <w:rPr>
          <w:rFonts w:hint="eastAsia" w:eastAsia="方正小标宋简体"/>
          <w:sz w:val="72"/>
          <w:szCs w:val="72"/>
          <w:lang w:val="en-US" w:eastAsia="zh-CN"/>
        </w:rPr>
        <w:t>广东省地方</w:t>
      </w:r>
      <w:r>
        <w:rPr>
          <w:rFonts w:eastAsia="方正小标宋简体"/>
          <w:sz w:val="72"/>
          <w:szCs w:val="72"/>
        </w:rPr>
        <w:t>标准</w:t>
      </w:r>
    </w:p>
    <w:p w14:paraId="69DF7311">
      <w:pPr>
        <w:spacing w:line="820" w:lineRule="exact"/>
        <w:jc w:val="center"/>
        <w:rPr>
          <w:rFonts w:eastAsia="方正小标宋简体"/>
          <w:sz w:val="52"/>
          <w:szCs w:val="52"/>
        </w:rPr>
      </w:pPr>
      <w:r>
        <w:rPr>
          <w:rFonts w:hint="eastAsia" w:eastAsia="方正小标宋简体"/>
          <w:sz w:val="52"/>
          <w:szCs w:val="52"/>
          <w:lang w:val="en-US" w:eastAsia="zh-CN"/>
        </w:rPr>
        <w:t>DB44</w:t>
      </w:r>
      <w:r>
        <w:rPr>
          <w:rFonts w:hint="eastAsia" w:eastAsia="方正小标宋简体"/>
          <w:sz w:val="52"/>
          <w:szCs w:val="52"/>
        </w:rPr>
        <w:t>/T</w:t>
      </w:r>
      <w:r>
        <w:rPr>
          <w:rFonts w:eastAsia="方正小标宋简体"/>
          <w:sz w:val="52"/>
          <w:szCs w:val="52"/>
        </w:rPr>
        <w:t>《</w:t>
      </w:r>
      <w:r>
        <w:rPr>
          <w:rFonts w:hint="eastAsia" w:eastAsia="方正小标宋简体"/>
          <w:sz w:val="52"/>
          <w:szCs w:val="52"/>
        </w:rPr>
        <w:t>余甘子及其制品</w:t>
      </w:r>
      <w:r>
        <w:rPr>
          <w:rFonts w:eastAsia="方正小标宋简体"/>
          <w:sz w:val="52"/>
          <w:szCs w:val="52"/>
        </w:rPr>
        <w:t>》</w:t>
      </w:r>
    </w:p>
    <w:p w14:paraId="0D7C2ABE">
      <w:pPr>
        <w:spacing w:line="820" w:lineRule="exact"/>
        <w:jc w:val="center"/>
        <w:rPr>
          <w:rFonts w:eastAsia="黑体"/>
          <w:sz w:val="48"/>
          <w:szCs w:val="48"/>
        </w:rPr>
      </w:pPr>
    </w:p>
    <w:p w14:paraId="092C2C13">
      <w:pPr>
        <w:spacing w:line="820" w:lineRule="exact"/>
        <w:jc w:val="center"/>
        <w:rPr>
          <w:rFonts w:eastAsia="黑体"/>
          <w:sz w:val="48"/>
          <w:szCs w:val="48"/>
        </w:rPr>
      </w:pPr>
      <w:r>
        <w:rPr>
          <w:rFonts w:eastAsia="黑体"/>
          <w:sz w:val="48"/>
          <w:szCs w:val="48"/>
        </w:rPr>
        <w:t>（</w:t>
      </w:r>
      <w:r>
        <w:rPr>
          <w:rFonts w:hint="eastAsia" w:eastAsia="黑体"/>
          <w:sz w:val="48"/>
          <w:szCs w:val="48"/>
          <w:lang w:val="en-US" w:eastAsia="zh-CN"/>
        </w:rPr>
        <w:t>征求意见</w:t>
      </w:r>
      <w:r>
        <w:rPr>
          <w:rFonts w:hint="eastAsia" w:eastAsia="黑体"/>
          <w:sz w:val="48"/>
          <w:szCs w:val="48"/>
        </w:rPr>
        <w:t>稿</w:t>
      </w:r>
      <w:r>
        <w:rPr>
          <w:rFonts w:eastAsia="黑体"/>
          <w:sz w:val="48"/>
          <w:szCs w:val="48"/>
        </w:rPr>
        <w:t>）</w:t>
      </w:r>
    </w:p>
    <w:p w14:paraId="60170080">
      <w:pPr>
        <w:spacing w:line="820" w:lineRule="exact"/>
        <w:jc w:val="center"/>
        <w:rPr>
          <w:rFonts w:eastAsia="黑体"/>
          <w:sz w:val="48"/>
          <w:szCs w:val="48"/>
        </w:rPr>
      </w:pPr>
    </w:p>
    <w:p w14:paraId="213FF532">
      <w:pPr>
        <w:spacing w:line="820" w:lineRule="exact"/>
        <w:jc w:val="center"/>
        <w:rPr>
          <w:rFonts w:eastAsia="黑体"/>
          <w:sz w:val="72"/>
          <w:szCs w:val="72"/>
        </w:rPr>
      </w:pPr>
      <w:r>
        <w:rPr>
          <w:rFonts w:eastAsia="黑体"/>
          <w:sz w:val="72"/>
          <w:szCs w:val="72"/>
        </w:rPr>
        <w:t>编</w:t>
      </w:r>
    </w:p>
    <w:p w14:paraId="40B4E6F4">
      <w:pPr>
        <w:spacing w:line="820" w:lineRule="exact"/>
        <w:jc w:val="center"/>
        <w:rPr>
          <w:rFonts w:eastAsia="黑体"/>
          <w:sz w:val="72"/>
          <w:szCs w:val="72"/>
        </w:rPr>
      </w:pPr>
      <w:r>
        <w:rPr>
          <w:rFonts w:eastAsia="黑体"/>
          <w:sz w:val="72"/>
          <w:szCs w:val="72"/>
        </w:rPr>
        <w:t>制</w:t>
      </w:r>
    </w:p>
    <w:p w14:paraId="4FD9B289">
      <w:pPr>
        <w:spacing w:line="820" w:lineRule="exact"/>
        <w:jc w:val="center"/>
        <w:rPr>
          <w:rFonts w:eastAsia="黑体"/>
          <w:sz w:val="72"/>
          <w:szCs w:val="72"/>
        </w:rPr>
      </w:pPr>
      <w:r>
        <w:rPr>
          <w:rFonts w:eastAsia="黑体"/>
          <w:sz w:val="72"/>
          <w:szCs w:val="72"/>
        </w:rPr>
        <w:t>说</w:t>
      </w:r>
    </w:p>
    <w:p w14:paraId="2CF908C5">
      <w:pPr>
        <w:spacing w:line="820" w:lineRule="exact"/>
        <w:jc w:val="center"/>
        <w:rPr>
          <w:rFonts w:eastAsia="黑体"/>
          <w:sz w:val="52"/>
          <w:szCs w:val="52"/>
        </w:rPr>
      </w:pPr>
      <w:r>
        <w:rPr>
          <w:rFonts w:eastAsia="黑体"/>
          <w:sz w:val="72"/>
          <w:szCs w:val="72"/>
        </w:rPr>
        <w:t>明</w:t>
      </w:r>
    </w:p>
    <w:p w14:paraId="52350F12">
      <w:pPr>
        <w:spacing w:line="820" w:lineRule="exact"/>
        <w:jc w:val="center"/>
        <w:rPr>
          <w:rFonts w:eastAsia="黑体"/>
          <w:sz w:val="52"/>
          <w:szCs w:val="52"/>
        </w:rPr>
      </w:pPr>
    </w:p>
    <w:p w14:paraId="5A3C2E06">
      <w:pPr>
        <w:spacing w:line="820" w:lineRule="exact"/>
        <w:jc w:val="center"/>
        <w:rPr>
          <w:rFonts w:eastAsia="黑体"/>
          <w:sz w:val="52"/>
          <w:szCs w:val="52"/>
        </w:rPr>
      </w:pPr>
    </w:p>
    <w:p w14:paraId="6DC0B38D">
      <w:pPr>
        <w:adjustRightInd w:val="0"/>
        <w:snapToGrid w:val="0"/>
        <w:jc w:val="center"/>
        <w:rPr>
          <w:rFonts w:hint="eastAsia" w:eastAsia="黑体"/>
          <w:sz w:val="36"/>
          <w:szCs w:val="36"/>
          <w:lang w:val="en-US" w:eastAsia="zh-CN"/>
        </w:rPr>
      </w:pPr>
      <w:r>
        <w:rPr>
          <w:rFonts w:hint="eastAsia" w:eastAsia="黑体"/>
          <w:sz w:val="36"/>
          <w:szCs w:val="36"/>
          <w:lang w:val="en-US" w:eastAsia="zh-CN"/>
        </w:rPr>
        <w:t>中国热带农业科学院农产品加工研究所</w:t>
      </w:r>
    </w:p>
    <w:p w14:paraId="4A327587">
      <w:pPr>
        <w:spacing w:line="560" w:lineRule="exact"/>
        <w:ind w:firstLine="720" w:firstLineChars="200"/>
        <w:jc w:val="center"/>
        <w:rPr>
          <w:rFonts w:cs="Arial"/>
          <w:b/>
          <w:bCs/>
          <w:color w:val="FF0000"/>
          <w:sz w:val="24"/>
        </w:rPr>
      </w:pPr>
      <w:r>
        <w:rPr>
          <w:rFonts w:eastAsia="黑体"/>
          <w:sz w:val="36"/>
          <w:szCs w:val="36"/>
        </w:rPr>
        <w:t>20</w:t>
      </w:r>
      <w:r>
        <w:rPr>
          <w:rFonts w:hint="eastAsia" w:eastAsia="黑体"/>
          <w:sz w:val="36"/>
          <w:szCs w:val="36"/>
          <w:lang w:val="en-US" w:eastAsia="zh-CN"/>
        </w:rPr>
        <w:t>25</w:t>
      </w:r>
      <w:r>
        <w:rPr>
          <w:rFonts w:eastAsia="黑体"/>
          <w:sz w:val="36"/>
          <w:szCs w:val="36"/>
        </w:rPr>
        <w:t>年</w:t>
      </w:r>
      <w:r>
        <w:rPr>
          <w:rFonts w:hint="eastAsia" w:eastAsia="黑体"/>
          <w:sz w:val="36"/>
          <w:szCs w:val="36"/>
          <w:lang w:val="en-US" w:eastAsia="zh-CN"/>
        </w:rPr>
        <w:t>7</w:t>
      </w:r>
      <w:r>
        <w:rPr>
          <w:rFonts w:eastAsia="黑体"/>
          <w:sz w:val="36"/>
          <w:szCs w:val="36"/>
        </w:rPr>
        <w:t>月</w:t>
      </w:r>
      <w:r>
        <w:rPr>
          <w:rFonts w:cs="Arial"/>
          <w:sz w:val="24"/>
        </w:rPr>
        <w:br w:type="page"/>
      </w:r>
      <w:bookmarkStart w:id="0" w:name="OLE_LINK12"/>
      <w:r>
        <w:rPr>
          <w:rFonts w:eastAsia="黑体"/>
          <w:bCs/>
          <w:kern w:val="44"/>
          <w:sz w:val="32"/>
        </w:rPr>
        <w:t>一、</w:t>
      </w:r>
      <w:r>
        <w:rPr>
          <w:rFonts w:hint="eastAsia" w:eastAsia="黑体"/>
          <w:bCs/>
          <w:kern w:val="44"/>
          <w:sz w:val="32"/>
        </w:rPr>
        <w:t>工作简况</w:t>
      </w:r>
    </w:p>
    <w:bookmarkEnd w:id="0"/>
    <w:p w14:paraId="0155EDD9">
      <w:pPr>
        <w:spacing w:line="560" w:lineRule="exact"/>
        <w:ind w:firstLine="643" w:firstLineChars="200"/>
        <w:rPr>
          <w:rFonts w:hint="eastAsia" w:ascii="Times New Roman" w:hAnsi="Times New Roman" w:eastAsia="楷体_GB2312" w:cs="Times New Roman"/>
          <w:b/>
          <w:bCs/>
          <w:sz w:val="32"/>
          <w:lang w:val="en-US" w:eastAsia="zh-CN"/>
        </w:rPr>
      </w:pPr>
      <w:r>
        <w:rPr>
          <w:rFonts w:hint="eastAsia" w:ascii="Times New Roman" w:hAnsi="Times New Roman" w:eastAsia="楷体_GB2312" w:cs="Times New Roman"/>
          <w:b/>
          <w:bCs/>
          <w:sz w:val="32"/>
          <w:lang w:val="en-US" w:eastAsia="zh-CN"/>
        </w:rPr>
        <w:t>（一）任务来源</w:t>
      </w:r>
    </w:p>
    <w:p w14:paraId="5B1F47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t>本标准由广东省市场监督管理局提出并归口。批准文号为“粤市监标准［2024］348号”《广东省市场监督管理局关于批准下达推动大规模设备更新和消费品以旧换新相关地方标准制修订计划（第四批）的通知》，标准名称“</w:t>
      </w:r>
      <w:r>
        <w:rPr>
          <w:rFonts w:hint="eastAsia" w:eastAsia="方正仿宋_GB2312" w:cs="方正仿宋_GB2312"/>
          <w:sz w:val="32"/>
          <w:szCs w:val="32"/>
          <w:lang w:val="en-US" w:eastAsia="zh-CN"/>
        </w:rPr>
        <w:t>余甘子及其制品</w:t>
      </w:r>
      <w:r>
        <w:rPr>
          <w:rFonts w:hint="eastAsia" w:ascii="Times New Roman" w:hAnsi="Times New Roman" w:eastAsia="方正仿宋_GB2312" w:cs="方正仿宋_GB2312"/>
          <w:sz w:val="32"/>
          <w:szCs w:val="32"/>
          <w:lang w:val="en-US" w:eastAsia="zh-CN"/>
        </w:rPr>
        <w:t>”，计划于2025年12月底完成标准的制订工作。</w:t>
      </w:r>
    </w:p>
    <w:p w14:paraId="248B83C3">
      <w:pPr>
        <w:spacing w:line="560" w:lineRule="exact"/>
        <w:ind w:firstLine="643" w:firstLineChars="200"/>
        <w:rPr>
          <w:rFonts w:hint="eastAsia" w:ascii="Times New Roman" w:hAnsi="Times New Roman" w:eastAsia="楷体_GB2312" w:cs="Times New Roman"/>
          <w:b/>
          <w:bCs/>
          <w:sz w:val="32"/>
          <w:lang w:val="en-US" w:eastAsia="zh-CN"/>
        </w:rPr>
      </w:pPr>
      <w:r>
        <w:rPr>
          <w:rFonts w:hint="eastAsia" w:ascii="Times New Roman" w:hAnsi="Times New Roman" w:eastAsia="楷体_GB2312" w:cs="Times New Roman"/>
          <w:b/>
          <w:bCs/>
          <w:sz w:val="32"/>
          <w:lang w:val="en-US" w:eastAsia="zh-CN"/>
        </w:rPr>
        <w:t>（二）</w:t>
      </w:r>
      <w:r>
        <w:rPr>
          <w:rFonts w:hint="eastAsia" w:eastAsia="楷体_GB2312" w:cs="Times New Roman"/>
          <w:b/>
          <w:bCs/>
          <w:sz w:val="32"/>
          <w:lang w:val="en-US" w:eastAsia="zh-CN"/>
        </w:rPr>
        <w:t>制定背景</w:t>
      </w:r>
    </w:p>
    <w:p w14:paraId="5A91E2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t>余</w:t>
      </w:r>
      <w:r>
        <w:rPr>
          <w:rFonts w:hint="eastAsia" w:eastAsia="方正仿宋_GB2312" w:cs="方正仿宋_GB2312"/>
          <w:sz w:val="32"/>
          <w:szCs w:val="32"/>
          <w:lang w:val="en-US" w:eastAsia="zh-CN"/>
        </w:rPr>
        <w:t>甘子又名油甘子、圆橄榄，来源于大戟科( Euphorbiaceae ) 叶下珠属植物余甘子 (</w:t>
      </w:r>
      <w:r>
        <w:rPr>
          <w:rFonts w:hint="eastAsia" w:eastAsia="方正仿宋_GB2312" w:cs="方正仿宋_GB2312"/>
          <w:i/>
          <w:iCs/>
          <w:sz w:val="32"/>
          <w:szCs w:val="32"/>
          <w:lang w:val="en-US" w:eastAsia="zh-CN"/>
        </w:rPr>
        <w:t xml:space="preserve"> Phyllanthus emblica</w:t>
      </w:r>
      <w:r>
        <w:rPr>
          <w:rFonts w:hint="eastAsia" w:eastAsia="方正仿宋_GB2312" w:cs="方正仿宋_GB2312"/>
          <w:sz w:val="32"/>
          <w:szCs w:val="32"/>
          <w:lang w:val="en-US" w:eastAsia="zh-CN"/>
        </w:rPr>
        <w:t xml:space="preserve"> -L. )的果实，其果实初尝酸涩、余味甘甜，故称余甘。《中国药典》2020版收录，属于药食同源物质，按照传统既是食品又是中药材物质目录管理。余甘子营养丰富，含有丰富氨基酸、矿物质和维生素，其中维生素C含量高达2 012.5mg/100g果肉，是常见水果橙子、苹果的数倍至数百倍之多。除常见组分外，还含有有机酸、多酚、鞣质、糖类、蛋白质、超氧化歧化酶(superoxide dismutase, SOD)等多种功能性成分。随着对余甘子生物活性以及功效研究的增多，余甘子多酚类物质已被证实具有一定的抗肿瘤活性。余甘子提取物具有抗炎、免疫调节、降血脂和抗动脉硬化等作用。</w:t>
      </w:r>
    </w:p>
    <w:p w14:paraId="1A1EDB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t>近几年，余甘子作为“网红饮料”被消费者所熟知，越来越多的新式茶饮将余甘子果汁作为原料调配奶茶饮品，风味独特。随着市场的认可，人工种植的余甘子规模也逐年扩大，国内余甘子总栽培面积约60万亩，主产区包括云南、福建、广东、广西等地。其中广东种植面积约10万亩，主要集中在揭阳普宁市、汕尾市和汕头市潮阳区，目前粤中粤西地区也开始成片种植。</w:t>
      </w:r>
    </w:p>
    <w:p w14:paraId="50CAF6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t>在余甘子未成为“网红饮料”之前，这种水果在潮汕地区主要以鲜食和蜜饯为常用的食用方法。在20世纪90年代至2008年以前，广东揭阳的油甘蜜饯果脯加工厂林立，但是在2008年因环保问题关停了大约2/3的加工作坊。目前，广东余甘子的加工产品主要有果脯、蜜饯、腌制品、果汁、果干、果茶、糖果、粉剂等，但因为余甘子还没有专门的食品安全标准，广东省余甘子加工产业多为无序发展，不能形成品牌价值，附加值不高。</w:t>
      </w:r>
    </w:p>
    <w:p w14:paraId="19F3B3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t>因此，基于当前产业发展需求，为更好地规范广东省余甘子及其制品食品安全，保证产地加工的规范性，有必要尽快建立《广东省食品安全地方标准  余甘子及其制品》标准。本项目标准的建立将有助于广东省余甘子相关产品的食品安全，推动余甘子产业健康有序发展，对塑造具有地方特色的广东省余甘子品牌具有深远的影响。</w:t>
      </w:r>
    </w:p>
    <w:p w14:paraId="2DD814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t>通过搜索分析余甘子相关专利了解，中国的专利数量在世界领先，并集中在种质资源创新、食品和饮料加工工艺等方面，尤其是近十年来呈现快速增长的发展趋势，基本与余甘子产业市场的发展呈正相关。申请人构成中，企业与个人占比 87.31%，偏向实际应用与商业价值，可推测目前该领域的发展主要是以市场应用为向导，基础研究较为薄弱。在余甘子相关标准研究方面，产品标准主要包括《余甘子粉》(LY/T 2866-2017)、</w:t>
      </w:r>
      <w:r>
        <w:rPr>
          <w:rFonts w:hint="eastAsia" w:eastAsia="方正仿宋_GB2312" w:cs="方正仿宋_GB2312"/>
          <w:sz w:val="32"/>
          <w:szCs w:val="32"/>
          <w:lang w:val="en-US" w:eastAsia="zh-CN"/>
        </w:rPr>
        <w:t>《</w:t>
      </w:r>
      <w:r>
        <w:rPr>
          <w:rFonts w:hint="eastAsia" w:ascii="Times New Roman" w:hAnsi="Times New Roman" w:eastAsia="方正仿宋_GB2312" w:cs="方正仿宋_GB2312"/>
          <w:sz w:val="32"/>
          <w:szCs w:val="32"/>
          <w:lang w:val="en-US" w:eastAsia="zh-CN"/>
        </w:rPr>
        <w:t>余甘子原汁》(LY/T3281-2021)以及地方性种植规范类标准，经过十余年的发展，中国余甘子产业标准化体系建设不断进步，但从标准的数量和类别、内容来看还不能有效地支撑全产业的标准化发展。综合来看，目前余甘子基础研究还相对薄弱，产品开发也不够全面，随着消费者对余甘子接受度的提高，余甘子创新加工产品市场前景非常广阔，加强科技研究也十分有必要。</w:t>
      </w:r>
    </w:p>
    <w:p w14:paraId="3CF86E3A">
      <w:pPr>
        <w:spacing w:line="560" w:lineRule="exact"/>
        <w:ind w:firstLine="643" w:firstLineChars="200"/>
        <w:rPr>
          <w:rFonts w:hint="default" w:ascii="Times New Roman" w:hAnsi="Times New Roman" w:eastAsia="楷体_GB2312" w:cs="Times New Roman"/>
          <w:b/>
          <w:bCs/>
          <w:sz w:val="32"/>
          <w:lang w:val="en-US" w:eastAsia="zh-CN"/>
        </w:rPr>
      </w:pPr>
      <w:r>
        <w:rPr>
          <w:rFonts w:hint="eastAsia" w:ascii="Times New Roman" w:hAnsi="Times New Roman" w:eastAsia="楷体_GB2312" w:cs="Times New Roman"/>
          <w:b/>
          <w:bCs/>
          <w:sz w:val="32"/>
          <w:lang w:val="en-US" w:eastAsia="zh-CN"/>
        </w:rPr>
        <w:t>（</w:t>
      </w:r>
      <w:r>
        <w:rPr>
          <w:rFonts w:hint="eastAsia" w:eastAsia="楷体_GB2312" w:cs="Times New Roman"/>
          <w:b/>
          <w:bCs/>
          <w:sz w:val="32"/>
          <w:lang w:val="en-US" w:eastAsia="zh-CN"/>
        </w:rPr>
        <w:t>三</w:t>
      </w:r>
      <w:r>
        <w:rPr>
          <w:rFonts w:hint="eastAsia" w:ascii="Times New Roman" w:hAnsi="Times New Roman" w:eastAsia="楷体_GB2312" w:cs="Times New Roman"/>
          <w:b/>
          <w:bCs/>
          <w:sz w:val="32"/>
          <w:lang w:val="en-US" w:eastAsia="zh-CN"/>
        </w:rPr>
        <w:t>）</w:t>
      </w:r>
      <w:r>
        <w:rPr>
          <w:rFonts w:hint="eastAsia" w:eastAsia="楷体_GB2312" w:cs="Times New Roman"/>
          <w:b/>
          <w:bCs/>
          <w:sz w:val="32"/>
          <w:lang w:val="en-US" w:eastAsia="zh-CN"/>
        </w:rPr>
        <w:t>起草单位情况</w:t>
      </w:r>
    </w:p>
    <w:p w14:paraId="6EB78E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1. 项目承担单位</w:t>
      </w:r>
    </w:p>
    <w:p w14:paraId="5AE9A8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中国热带农业科学院农产品加工研究所是是我国唯一专业从事热带农产品加工科技研究的中央部属科研事业机构，副厅级。建设天然橡胶加工、食品科学、农产品质量与安全、城乡垃圾资源化利用等4个学科方向，设置天然橡胶工程胶加工研究室、食品加工研究室、农产品质量安全与标准化研究室、热带农产品检测技术研究室、热带作物产地加工研究室以及城乡垃圾资源化利用研究室。现有人员编制435名，在岗人员226人。</w:t>
      </w:r>
    </w:p>
    <w:p w14:paraId="36B88A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中国热带农业科学院农产品加工研究所承建国家、省、部级科技平台18个，拥有科研仪器设备原值约2亿元，是我国重要的热带农产品加工国家战略科技力量。先后获科技成果170多项，获国家和省部级科技奖励近50项，其中近年获国家科技进步二等奖2项，是我国热带农产品加工科技进步的重要支撑平台，配备的各种先进仪器设备能满足各项工作的需要。本所已承担了200多项国家标准和农业行业标准的制定工作，具有较强的标准制定（修订）能力。</w:t>
      </w:r>
    </w:p>
    <w:p w14:paraId="32A20213">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default" w:eastAsia="方正仿宋_GB2312" w:cs="方正仿宋_GB2312"/>
          <w:sz w:val="32"/>
          <w:szCs w:val="32"/>
          <w:lang w:val="en-US" w:eastAsia="zh-CN"/>
        </w:rPr>
      </w:pPr>
      <w:r>
        <w:rPr>
          <w:rFonts w:hint="eastAsia" w:eastAsia="方正仿宋_GB2312" w:cs="方正仿宋_GB2312"/>
          <w:sz w:val="32"/>
          <w:szCs w:val="32"/>
          <w:lang w:val="en-US" w:eastAsia="zh-CN"/>
        </w:rPr>
        <w:t>参与单位</w:t>
      </w:r>
    </w:p>
    <w:p w14:paraId="3BEA97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广东省农业科学院蚕业与农产品加工研究所和东鹏饮料（集团）股份有限公司。</w:t>
      </w:r>
    </w:p>
    <w:p w14:paraId="44ADC065">
      <w:pPr>
        <w:spacing w:line="560" w:lineRule="exact"/>
        <w:ind w:firstLine="643" w:firstLineChars="200"/>
        <w:rPr>
          <w:rFonts w:hint="default" w:ascii="Times New Roman" w:hAnsi="Times New Roman" w:eastAsia="楷体_GB2312" w:cs="Times New Roman"/>
          <w:b/>
          <w:bCs/>
          <w:sz w:val="32"/>
          <w:lang w:val="en-US" w:eastAsia="zh-CN"/>
        </w:rPr>
      </w:pPr>
      <w:r>
        <w:rPr>
          <w:rFonts w:hint="eastAsia" w:ascii="Times New Roman" w:hAnsi="Times New Roman" w:eastAsia="楷体_GB2312" w:cs="Times New Roman"/>
          <w:b/>
          <w:bCs/>
          <w:sz w:val="32"/>
          <w:lang w:val="en-US" w:eastAsia="zh-CN"/>
        </w:rPr>
        <w:t>（</w:t>
      </w:r>
      <w:r>
        <w:rPr>
          <w:rFonts w:hint="eastAsia" w:eastAsia="楷体_GB2312" w:cs="Times New Roman"/>
          <w:b/>
          <w:bCs/>
          <w:sz w:val="32"/>
          <w:lang w:val="en-US" w:eastAsia="zh-CN"/>
        </w:rPr>
        <w:t>四</w:t>
      </w:r>
      <w:r>
        <w:rPr>
          <w:rFonts w:hint="eastAsia" w:ascii="Times New Roman" w:hAnsi="Times New Roman" w:eastAsia="楷体_GB2312" w:cs="Times New Roman"/>
          <w:b/>
          <w:bCs/>
          <w:sz w:val="32"/>
          <w:lang w:val="en-US" w:eastAsia="zh-CN"/>
        </w:rPr>
        <w:t>）</w:t>
      </w:r>
      <w:r>
        <w:rPr>
          <w:rFonts w:hint="eastAsia" w:eastAsia="楷体_GB2312" w:cs="Times New Roman"/>
          <w:b/>
          <w:bCs/>
          <w:sz w:val="32"/>
          <w:lang w:val="en-US" w:eastAsia="zh-CN"/>
        </w:rPr>
        <w:t>主要起草过程</w:t>
      </w:r>
    </w:p>
    <w:p w14:paraId="65E2FC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1. 标准任务立项后，</w:t>
      </w:r>
      <w:r>
        <w:rPr>
          <w:rFonts w:hint="eastAsia" w:eastAsia="仿宋"/>
          <w:sz w:val="32"/>
          <w:szCs w:val="32"/>
        </w:rPr>
        <w:t>由中国热带农业科学院农产品加工研究所为主导单位</w:t>
      </w:r>
      <w:r>
        <w:rPr>
          <w:rFonts w:hint="eastAsia" w:eastAsia="仿宋"/>
          <w:sz w:val="32"/>
          <w:szCs w:val="32"/>
          <w:lang w:eastAsia="zh-CN"/>
        </w:rPr>
        <w:t>，广东省农业科学院蚕业与农产品加工研究所、东鹏饮料（集团）股份有限公司</w:t>
      </w:r>
      <w:r>
        <w:rPr>
          <w:rFonts w:hint="eastAsia" w:eastAsia="仿宋"/>
          <w:sz w:val="32"/>
          <w:szCs w:val="32"/>
          <w:lang w:val="en-US" w:eastAsia="zh-CN"/>
        </w:rPr>
        <w:t>为参与单位共同完成</w:t>
      </w:r>
      <w:r>
        <w:rPr>
          <w:rFonts w:hint="eastAsia" w:eastAsia="方正仿宋_GB2312" w:cs="方正仿宋_GB2312"/>
          <w:sz w:val="32"/>
          <w:szCs w:val="32"/>
          <w:lang w:val="en-US" w:eastAsia="zh-CN"/>
        </w:rPr>
        <w:t>。主要起草单位成立了标准起草小组，制定了相应的工作计划。</w:t>
      </w:r>
    </w:p>
    <w:p w14:paraId="65E3ED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方正仿宋_GB2312" w:cs="方正仿宋_GB2312"/>
          <w:sz w:val="32"/>
          <w:szCs w:val="32"/>
          <w:lang w:val="en-US" w:eastAsia="zh-CN"/>
        </w:rPr>
      </w:pPr>
      <w:r>
        <w:rPr>
          <w:rFonts w:hint="eastAsia" w:eastAsia="方正仿宋_GB2312" w:cs="方正仿宋_GB2312"/>
          <w:sz w:val="32"/>
          <w:szCs w:val="32"/>
          <w:lang w:val="en-US" w:eastAsia="zh-CN"/>
        </w:rPr>
        <w:t>2. 标准起草小组查阅了国内外相关文献、杂志、标准等技术资料，走访广东省内</w:t>
      </w:r>
      <w:bookmarkStart w:id="3" w:name="_GoBack"/>
      <w:bookmarkEnd w:id="3"/>
      <w:r>
        <w:rPr>
          <w:rFonts w:hint="eastAsia" w:eastAsia="方正仿宋_GB2312" w:cs="方正仿宋_GB2312"/>
          <w:sz w:val="32"/>
          <w:szCs w:val="32"/>
          <w:lang w:val="en-US" w:eastAsia="zh-CN"/>
        </w:rPr>
        <w:t>相关种植、加工企业编制起草说明。</w:t>
      </w:r>
    </w:p>
    <w:p w14:paraId="768EA8F9">
      <w:pPr>
        <w:spacing w:line="560" w:lineRule="exact"/>
        <w:ind w:firstLine="640" w:firstLineChars="200"/>
        <w:rPr>
          <w:rFonts w:eastAsia="黑体"/>
          <w:bCs/>
          <w:kern w:val="44"/>
          <w:sz w:val="32"/>
        </w:rPr>
      </w:pPr>
      <w:r>
        <w:rPr>
          <w:rFonts w:hint="eastAsia" w:eastAsia="方正仿宋_GB2312" w:cs="方正仿宋_GB2312"/>
          <w:sz w:val="32"/>
          <w:szCs w:val="32"/>
          <w:lang w:val="en-US" w:eastAsia="zh-CN"/>
        </w:rPr>
        <w:t xml:space="preserve"> </w:t>
      </w:r>
      <w:r>
        <w:rPr>
          <w:rFonts w:eastAsia="黑体"/>
          <w:bCs/>
          <w:kern w:val="44"/>
          <w:sz w:val="32"/>
        </w:rPr>
        <w:t>二、标准编制原则和确定标准主要内容的依据</w:t>
      </w:r>
    </w:p>
    <w:p w14:paraId="719DBBCE">
      <w:pPr>
        <w:spacing w:line="560" w:lineRule="exact"/>
        <w:ind w:firstLine="643" w:firstLineChars="200"/>
        <w:rPr>
          <w:rFonts w:hint="eastAsia" w:eastAsia="楷体_GB2312" w:cs="Times New Roman"/>
          <w:b/>
          <w:bCs/>
          <w:sz w:val="32"/>
          <w:lang w:val="en-US" w:eastAsia="zh-CN"/>
        </w:rPr>
      </w:pPr>
      <w:r>
        <w:rPr>
          <w:rFonts w:hint="eastAsia" w:eastAsia="楷体_GB2312" w:cs="Times New Roman"/>
          <w:b/>
          <w:bCs/>
          <w:sz w:val="32"/>
          <w:lang w:val="en-US" w:eastAsia="zh-CN"/>
        </w:rPr>
        <w:t>（一）编制原则</w:t>
      </w:r>
    </w:p>
    <w:p w14:paraId="7805CC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rPr>
      </w:pPr>
      <w:r>
        <w:rPr>
          <w:rFonts w:hint="eastAsia" w:eastAsia="方正仿宋_GB2312" w:cs="Arial"/>
          <w:sz w:val="32"/>
          <w:lang w:val="en-US" w:eastAsia="zh-CN"/>
        </w:rPr>
        <w:t>本文件按照</w:t>
      </w:r>
      <w:r>
        <w:rPr>
          <w:rFonts w:hint="eastAsia" w:eastAsia="方正仿宋_GB2312" w:cs="Arial"/>
          <w:sz w:val="32"/>
        </w:rPr>
        <w:t>GB/T 1</w:t>
      </w:r>
      <w:r>
        <w:rPr>
          <w:rFonts w:eastAsia="方正仿宋_GB2312" w:cs="Arial"/>
          <w:sz w:val="32"/>
        </w:rPr>
        <w:t>.1</w:t>
      </w:r>
      <w:r>
        <w:rPr>
          <w:rFonts w:hint="eastAsia" w:eastAsia="方正仿宋_GB2312" w:cs="Arial"/>
          <w:sz w:val="32"/>
          <w:lang w:val="en-US" w:eastAsia="zh-CN"/>
        </w:rPr>
        <w:t>-</w:t>
      </w:r>
      <w:r>
        <w:rPr>
          <w:rFonts w:hint="eastAsia" w:eastAsia="方正仿宋_GB2312" w:cs="Arial"/>
          <w:sz w:val="32"/>
        </w:rPr>
        <w:t>2</w:t>
      </w:r>
      <w:r>
        <w:rPr>
          <w:rFonts w:hint="eastAsia" w:eastAsia="方正仿宋_GB2312" w:cs="Arial"/>
          <w:sz w:val="32"/>
          <w:lang w:val="en-US" w:eastAsia="zh-CN"/>
        </w:rPr>
        <w:t xml:space="preserve">020 </w:t>
      </w:r>
      <w:r>
        <w:rPr>
          <w:rFonts w:hint="eastAsia" w:eastAsia="方正仿宋_GB2312" w:cs="Arial"/>
          <w:sz w:val="32"/>
        </w:rPr>
        <w:t>《标准化工作导则 第１部分：标准</w:t>
      </w:r>
      <w:r>
        <w:rPr>
          <w:rFonts w:hint="eastAsia" w:eastAsia="方正仿宋_GB2312" w:cs="Arial"/>
          <w:sz w:val="32"/>
          <w:lang w:val="en-US" w:eastAsia="zh-CN"/>
        </w:rPr>
        <w:t>化文件</w:t>
      </w:r>
      <w:r>
        <w:rPr>
          <w:rFonts w:hint="eastAsia" w:eastAsia="方正仿宋_GB2312" w:cs="Arial"/>
          <w:sz w:val="32"/>
        </w:rPr>
        <w:t>的结构和</w:t>
      </w:r>
      <w:r>
        <w:rPr>
          <w:rFonts w:hint="eastAsia" w:eastAsia="方正仿宋_GB2312" w:cs="Arial"/>
          <w:sz w:val="32"/>
          <w:lang w:val="en-US" w:eastAsia="zh-CN"/>
        </w:rPr>
        <w:t>起草</w:t>
      </w:r>
      <w:r>
        <w:rPr>
          <w:rFonts w:hint="eastAsia" w:eastAsia="方正仿宋_GB2312" w:cs="Arial"/>
          <w:sz w:val="32"/>
        </w:rPr>
        <w:t>规则》</w:t>
      </w:r>
      <w:r>
        <w:rPr>
          <w:rFonts w:hint="eastAsia" w:eastAsia="方正仿宋_GB2312" w:cs="Arial"/>
          <w:sz w:val="32"/>
          <w:lang w:val="en-US" w:eastAsia="zh-CN"/>
        </w:rPr>
        <w:t>的规定起草</w:t>
      </w:r>
      <w:r>
        <w:rPr>
          <w:rFonts w:hint="eastAsia" w:eastAsia="方正仿宋_GB2312" w:cs="Arial"/>
          <w:sz w:val="32"/>
        </w:rPr>
        <w:t>。</w:t>
      </w:r>
    </w:p>
    <w:p w14:paraId="6B71C8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本标准本标准符合国家有关法律法规、强制性标准及相关产业政策要求。</w:t>
      </w:r>
    </w:p>
    <w:p w14:paraId="608E09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本标准的编写，是在调研广东省余甘子种植及加工的基础上进行编写。</w:t>
      </w:r>
    </w:p>
    <w:p w14:paraId="19B722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本标准适用于余甘子及其制品。</w:t>
      </w:r>
    </w:p>
    <w:p w14:paraId="766F5B06">
      <w:pPr>
        <w:spacing w:line="560" w:lineRule="exact"/>
        <w:ind w:firstLine="643" w:firstLineChars="200"/>
        <w:rPr>
          <w:rFonts w:hint="eastAsia" w:eastAsia="楷体_GB2312" w:cs="Times New Roman"/>
          <w:b/>
          <w:bCs/>
          <w:sz w:val="32"/>
          <w:lang w:val="en-US" w:eastAsia="zh-CN"/>
        </w:rPr>
      </w:pPr>
      <w:r>
        <w:rPr>
          <w:rFonts w:hint="eastAsia" w:eastAsia="楷体_GB2312" w:cs="Times New Roman"/>
          <w:b/>
          <w:bCs/>
          <w:sz w:val="32"/>
          <w:lang w:val="en-US" w:eastAsia="zh-CN"/>
        </w:rPr>
        <w:t>（二）主要内容及其确定依据</w:t>
      </w:r>
    </w:p>
    <w:p w14:paraId="187EBC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标准名称：余甘子及其制品，英文译名Emblic myrobalon and their products</w:t>
      </w:r>
    </w:p>
    <w:p w14:paraId="358C676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方正仿宋_GB2312" w:cs="Arial"/>
          <w:b/>
          <w:bCs/>
          <w:sz w:val="32"/>
          <w:lang w:val="en-US" w:eastAsia="zh-CN"/>
        </w:rPr>
      </w:pPr>
      <w:r>
        <w:rPr>
          <w:rFonts w:hint="eastAsia" w:eastAsia="方正仿宋_GB2312" w:cs="Arial"/>
          <w:b/>
          <w:bCs/>
          <w:sz w:val="32"/>
          <w:lang w:val="en-US" w:eastAsia="zh-CN"/>
        </w:rPr>
        <w:t>以余甘子作为标准名称，依据NY/T 1940-2010《热带水果分类和编码》，余甘子，英文名为</w:t>
      </w:r>
      <w:r>
        <w:rPr>
          <w:rFonts w:hint="eastAsia" w:eastAsia="方正仿宋_GB2312" w:cs="Arial"/>
          <w:sz w:val="32"/>
          <w:lang w:val="en-US" w:eastAsia="zh-CN"/>
        </w:rPr>
        <w:t xml:space="preserve">Emblic myrobalon </w:t>
      </w:r>
      <w:r>
        <w:rPr>
          <w:rFonts w:hint="eastAsia" w:eastAsia="方正仿宋_GB2312" w:cs="Arial"/>
          <w:b/>
          <w:bCs/>
          <w:sz w:val="32"/>
          <w:lang w:val="en-US" w:eastAsia="zh-CN"/>
        </w:rPr>
        <w:t>。</w:t>
      </w:r>
    </w:p>
    <w:p w14:paraId="285C79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bookmarkStart w:id="1" w:name="_Tocacda6537-bff0-49f7-addb-74e2a55b903d"/>
      <w:r>
        <w:rPr>
          <w:rFonts w:hint="eastAsia" w:eastAsia="方正仿宋_GB2312" w:cs="Arial"/>
          <w:sz w:val="32"/>
          <w:lang w:val="en-US" w:eastAsia="zh-CN"/>
        </w:rPr>
        <w:t>1  范围</w:t>
      </w:r>
      <w:bookmarkEnd w:id="1"/>
    </w:p>
    <w:p w14:paraId="7EA60B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本文件适用于广东产余甘子及其制品。</w:t>
      </w:r>
    </w:p>
    <w:p w14:paraId="4A98520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2  规范性引用文件</w:t>
      </w:r>
    </w:p>
    <w:p w14:paraId="08A7B5D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3  术语和定义</w:t>
      </w:r>
    </w:p>
    <w:p w14:paraId="0A6281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3.1 余甘子 emblic myrobalon</w:t>
      </w:r>
    </w:p>
    <w:p w14:paraId="564C8E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bookmarkStart w:id="2" w:name="_Toc4acc63b2-3c91-45f5-97ac-1c4cf36655cc"/>
      <w:r>
        <w:rPr>
          <w:rFonts w:hint="eastAsia" w:eastAsia="方正仿宋_GB2312" w:cs="Arial"/>
          <w:sz w:val="32"/>
          <w:lang w:val="en-US" w:eastAsia="zh-CN"/>
        </w:rPr>
        <w:t>大戟科植物余甘子</w:t>
      </w:r>
      <w:r>
        <w:rPr>
          <w:rFonts w:hint="eastAsia" w:eastAsia="方正仿宋_GB2312" w:cs="Arial"/>
          <w:i/>
          <w:iCs/>
          <w:sz w:val="32"/>
          <w:lang w:val="en-US" w:eastAsia="zh-CN"/>
        </w:rPr>
        <w:t>Phyllanthus emblica</w:t>
      </w:r>
      <w:r>
        <w:rPr>
          <w:rFonts w:hint="eastAsia" w:eastAsia="方正仿宋_GB2312" w:cs="Arial"/>
          <w:sz w:val="32"/>
          <w:lang w:val="en-US" w:eastAsia="zh-CN"/>
        </w:rPr>
        <w:t xml:space="preserve"> L.的成熟果实，俗名：油甘子、滇橄榄、山油甘。</w:t>
      </w:r>
    </w:p>
    <w:p w14:paraId="7BE1551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bCs/>
          <w:sz w:val="32"/>
          <w:lang w:eastAsia="zh-CN"/>
        </w:rPr>
      </w:pPr>
      <w:r>
        <w:rPr>
          <w:rFonts w:hint="eastAsia" w:ascii="Times New Roman" w:hAnsi="Times New Roman" w:eastAsia="仿宋" w:cs="Times New Roman"/>
          <w:b/>
          <w:bCs/>
          <w:sz w:val="32"/>
          <w:lang w:val="en-US" w:eastAsia="zh-CN"/>
        </w:rPr>
        <w:t>余甘子</w:t>
      </w:r>
      <w:r>
        <w:rPr>
          <w:rFonts w:hint="default" w:ascii="Times New Roman" w:hAnsi="Times New Roman" w:eastAsia="仿宋" w:cs="Times New Roman"/>
          <w:b/>
          <w:bCs/>
          <w:sz w:val="32"/>
        </w:rPr>
        <w:t>定义参考植物志以及中国药典2020年版一部（</w:t>
      </w:r>
      <w:r>
        <w:rPr>
          <w:rFonts w:hint="eastAsia" w:ascii="Times New Roman" w:hAnsi="Times New Roman" w:eastAsia="仿宋" w:cs="Times New Roman"/>
          <w:b/>
          <w:bCs/>
          <w:sz w:val="32"/>
          <w:lang w:val="en-US" w:eastAsia="zh-CN"/>
        </w:rPr>
        <w:t>186</w:t>
      </w:r>
      <w:r>
        <w:rPr>
          <w:rFonts w:hint="default" w:ascii="Times New Roman" w:hAnsi="Times New Roman" w:eastAsia="仿宋" w:cs="Times New Roman"/>
          <w:b/>
          <w:bCs/>
          <w:sz w:val="32"/>
        </w:rPr>
        <w:t>页）</w:t>
      </w:r>
      <w:r>
        <w:rPr>
          <w:rFonts w:hint="eastAsia" w:ascii="Times New Roman" w:hAnsi="Times New Roman" w:eastAsia="仿宋" w:cs="Times New Roman"/>
          <w:b/>
          <w:bCs/>
          <w:sz w:val="32"/>
          <w:lang w:val="en-US" w:eastAsia="zh-CN"/>
        </w:rPr>
        <w:t>以及文献（甘阳英, 肖广江, 蔡时可, 等. 中国余甘子产业发展的现状分析与发展建议[J]. 中国农学通报, 2022, 38(32): 148-154. ）</w:t>
      </w:r>
      <w:r>
        <w:rPr>
          <w:rFonts w:hint="default" w:ascii="Times New Roman" w:hAnsi="Times New Roman" w:eastAsia="仿宋" w:cs="Times New Roman"/>
          <w:b/>
          <w:bCs/>
          <w:sz w:val="32"/>
        </w:rPr>
        <w:t>相关描述提出</w:t>
      </w:r>
      <w:bookmarkEnd w:id="2"/>
      <w:r>
        <w:rPr>
          <w:rFonts w:hint="eastAsia" w:ascii="Times New Roman" w:hAnsi="Times New Roman" w:eastAsia="仿宋" w:cs="Times New Roman"/>
          <w:b/>
          <w:bCs/>
          <w:sz w:val="32"/>
          <w:lang w:eastAsia="zh-CN"/>
        </w:rPr>
        <w:t>。</w:t>
      </w:r>
    </w:p>
    <w:p w14:paraId="5CC809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3.2 余甘子制品 emblic myrobalon products</w:t>
      </w:r>
    </w:p>
    <w:p w14:paraId="0125C8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以余甘子为主要原料，添加（或不添加）其他辅料，经相应工艺加工制成的预包装食品，主要包括余甘子蜜饯、余甘子果干以及余甘子果酱。</w:t>
      </w:r>
    </w:p>
    <w:p w14:paraId="70F928E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 w:cs="Times New Roman"/>
          <w:b/>
          <w:bCs/>
          <w:sz w:val="32"/>
          <w:lang w:val="en-US" w:eastAsia="zh-CN"/>
        </w:rPr>
      </w:pPr>
      <w:r>
        <w:rPr>
          <w:rFonts w:hint="eastAsia" w:ascii="Times New Roman" w:hAnsi="Times New Roman" w:eastAsia="仿宋" w:cs="Times New Roman"/>
          <w:b/>
          <w:bCs/>
          <w:sz w:val="32"/>
          <w:lang w:val="en-US" w:eastAsia="zh-CN"/>
        </w:rPr>
        <w:t>余甘子制品的分类参考市场监管总局关于修订公布食品生产许可分类目录的公告 (2020年第8号) 中食品生产许可分类目录里的水果制品类别</w:t>
      </w:r>
      <w:r>
        <w:rPr>
          <w:rFonts w:hint="eastAsia" w:eastAsia="仿宋" w:cs="Times New Roman"/>
          <w:b/>
          <w:bCs/>
          <w:sz w:val="32"/>
          <w:lang w:val="en-US" w:eastAsia="zh-CN"/>
        </w:rPr>
        <w:t>。</w:t>
      </w:r>
    </w:p>
    <w:p w14:paraId="546D54B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3.2.1 余甘子蜜饯 emblic myrobalon preserve</w:t>
      </w:r>
    </w:p>
    <w:p w14:paraId="7939C7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方正仿宋_GB2312" w:cs="Arial"/>
          <w:sz w:val="32"/>
          <w:lang w:val="en-US" w:eastAsia="zh-CN"/>
        </w:rPr>
      </w:pPr>
      <w:r>
        <w:rPr>
          <w:rFonts w:hint="eastAsia" w:eastAsia="方正仿宋_GB2312" w:cs="Arial"/>
          <w:sz w:val="32"/>
          <w:lang w:val="en-US" w:eastAsia="zh-CN"/>
        </w:rPr>
        <w:t>以余甘子为主要原料，添加（或不添加）食品添加剂和其他辅料，经糖或蜂蜜或食盐腌制（或不腌制）等工艺制成的制品，包括蜜饯类、凉果类、果脯类、话化类、果糕类和果丹类等。</w:t>
      </w:r>
    </w:p>
    <w:p w14:paraId="515C94B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ascii="Times New Roman" w:hAnsi="Times New Roman" w:eastAsia="仿宋" w:cs="Times New Roman"/>
          <w:b/>
          <w:bCs/>
          <w:sz w:val="32"/>
          <w:lang w:val="en-US" w:eastAsia="zh-CN"/>
        </w:rPr>
        <w:t>余甘子蜜饯定义参考</w:t>
      </w:r>
      <w:r>
        <w:rPr>
          <w:rFonts w:hint="eastAsia" w:eastAsia="仿宋" w:cs="Times New Roman"/>
          <w:b/>
          <w:bCs/>
          <w:sz w:val="32"/>
          <w:lang w:val="en-US" w:eastAsia="zh-CN"/>
        </w:rPr>
        <w:t>并引用</w:t>
      </w:r>
      <w:r>
        <w:rPr>
          <w:rFonts w:hint="eastAsia" w:ascii="Times New Roman" w:hAnsi="Times New Roman" w:eastAsia="仿宋" w:cs="Times New Roman"/>
          <w:b/>
          <w:bCs/>
          <w:sz w:val="32"/>
          <w:lang w:val="en-US" w:eastAsia="zh-CN"/>
        </w:rPr>
        <w:t>GB14884</w:t>
      </w:r>
      <w:r>
        <w:rPr>
          <w:rFonts w:hint="eastAsia" w:eastAsia="仿宋" w:cs="Times New Roman"/>
          <w:b/>
          <w:bCs/>
          <w:sz w:val="32"/>
          <w:lang w:val="en-US" w:eastAsia="zh-CN"/>
        </w:rPr>
        <w:t>-</w:t>
      </w:r>
      <w:r>
        <w:rPr>
          <w:rFonts w:hint="eastAsia" w:ascii="Times New Roman" w:hAnsi="Times New Roman" w:eastAsia="仿宋" w:cs="Times New Roman"/>
          <w:b/>
          <w:bCs/>
          <w:sz w:val="32"/>
          <w:lang w:val="en-US" w:eastAsia="zh-CN"/>
        </w:rPr>
        <w:t>2016</w:t>
      </w:r>
      <w:r>
        <w:rPr>
          <w:rFonts w:hint="eastAsia" w:eastAsia="仿宋" w:cs="Times New Roman"/>
          <w:b/>
          <w:bCs/>
          <w:sz w:val="32"/>
          <w:lang w:val="en-US" w:eastAsia="zh-CN"/>
        </w:rPr>
        <w:t>《食品安全国家标准 蜜饯》术语和定义。</w:t>
      </w:r>
    </w:p>
    <w:p w14:paraId="630D00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3.2.2 余甘子果干 emblic myrobalon dried fruits</w:t>
      </w:r>
    </w:p>
    <w:p w14:paraId="04E61A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以余甘子为主要原料，经脱水，未经糖渍，添加（或不添加）食品添加剂而制成的果干。</w:t>
      </w:r>
    </w:p>
    <w:p w14:paraId="420154B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ascii="Times New Roman" w:hAnsi="Times New Roman" w:eastAsia="仿宋" w:cs="Times New Roman"/>
          <w:b/>
          <w:bCs/>
          <w:sz w:val="32"/>
          <w:lang w:val="en-US" w:eastAsia="zh-CN"/>
        </w:rPr>
        <w:t>余甘子果干</w:t>
      </w:r>
      <w:r>
        <w:rPr>
          <w:rFonts w:hint="eastAsia" w:eastAsia="仿宋" w:cs="Times New Roman"/>
          <w:b/>
          <w:bCs/>
          <w:sz w:val="32"/>
          <w:lang w:val="en-US" w:eastAsia="zh-CN"/>
        </w:rPr>
        <w:t>定义</w:t>
      </w:r>
      <w:r>
        <w:rPr>
          <w:rFonts w:hint="eastAsia" w:ascii="Times New Roman" w:hAnsi="Times New Roman" w:eastAsia="仿宋" w:cs="Times New Roman"/>
          <w:b/>
          <w:bCs/>
          <w:sz w:val="32"/>
          <w:lang w:val="en-US" w:eastAsia="zh-CN"/>
        </w:rPr>
        <w:t>参考</w:t>
      </w:r>
      <w:r>
        <w:rPr>
          <w:rFonts w:hint="eastAsia" w:eastAsia="仿宋" w:cs="Times New Roman"/>
          <w:b/>
          <w:bCs/>
          <w:sz w:val="32"/>
          <w:lang w:val="en-US" w:eastAsia="zh-CN"/>
        </w:rPr>
        <w:t>并引用</w:t>
      </w:r>
      <w:r>
        <w:rPr>
          <w:rFonts w:hint="eastAsia" w:ascii="Times New Roman" w:hAnsi="Times New Roman" w:eastAsia="仿宋" w:cs="Times New Roman"/>
          <w:b/>
          <w:bCs/>
          <w:sz w:val="32"/>
          <w:lang w:val="en-US" w:eastAsia="zh-CN"/>
        </w:rPr>
        <w:t>NY/T 1041- -2018</w:t>
      </w:r>
      <w:r>
        <w:rPr>
          <w:rFonts w:hint="eastAsia" w:eastAsia="仿宋" w:cs="Times New Roman"/>
          <w:b/>
          <w:bCs/>
          <w:sz w:val="32"/>
          <w:lang w:val="en-US" w:eastAsia="zh-CN"/>
        </w:rPr>
        <w:t xml:space="preserve"> 《绿色食品 干果》中对范围的描述。</w:t>
      </w:r>
    </w:p>
    <w:p w14:paraId="176993F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 xml:space="preserve">3.2.3 </w:t>
      </w:r>
    </w:p>
    <w:p w14:paraId="3B5C6E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余甘子果酱 emblic myrobalon jam</w:t>
      </w:r>
    </w:p>
    <w:p w14:paraId="6E857B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以余甘子、余甘子果汁或果浆和糖等为主要原料，经预处理、煮制、打浆（或破碎）、配料、浓缩、包装等工序制成的酱状产品。</w:t>
      </w:r>
    </w:p>
    <w:p w14:paraId="27D8A14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ascii="Times New Roman" w:hAnsi="Times New Roman" w:eastAsia="仿宋" w:cs="Times New Roman"/>
          <w:b/>
          <w:bCs/>
          <w:sz w:val="32"/>
          <w:lang w:val="en-US" w:eastAsia="zh-CN"/>
        </w:rPr>
        <w:t>余甘子</w:t>
      </w:r>
      <w:r>
        <w:rPr>
          <w:rFonts w:hint="eastAsia" w:eastAsia="仿宋" w:cs="Times New Roman"/>
          <w:b/>
          <w:bCs/>
          <w:sz w:val="32"/>
          <w:lang w:val="en-US" w:eastAsia="zh-CN"/>
        </w:rPr>
        <w:t>果酱定义</w:t>
      </w:r>
      <w:r>
        <w:rPr>
          <w:rFonts w:hint="eastAsia" w:ascii="Times New Roman" w:hAnsi="Times New Roman" w:eastAsia="仿宋" w:cs="Times New Roman"/>
          <w:b/>
          <w:bCs/>
          <w:sz w:val="32"/>
          <w:lang w:val="en-US" w:eastAsia="zh-CN"/>
        </w:rPr>
        <w:t>参考</w:t>
      </w:r>
      <w:r>
        <w:rPr>
          <w:rFonts w:hint="eastAsia" w:eastAsia="仿宋" w:cs="Times New Roman"/>
          <w:b/>
          <w:bCs/>
          <w:sz w:val="32"/>
          <w:lang w:val="en-US" w:eastAsia="zh-CN"/>
        </w:rPr>
        <w:t>并引用</w:t>
      </w:r>
      <w:r>
        <w:rPr>
          <w:rFonts w:hint="eastAsia" w:ascii="Times New Roman" w:hAnsi="Times New Roman" w:eastAsia="仿宋" w:cs="Times New Roman"/>
          <w:b/>
          <w:bCs/>
          <w:sz w:val="32"/>
          <w:lang w:val="en-US" w:eastAsia="zh-CN"/>
        </w:rPr>
        <w:t>GB/T 22474-2008</w:t>
      </w:r>
      <w:r>
        <w:rPr>
          <w:rFonts w:hint="eastAsia" w:eastAsia="仿宋" w:cs="Times New Roman"/>
          <w:b/>
          <w:bCs/>
          <w:sz w:val="32"/>
          <w:lang w:val="en-US" w:eastAsia="zh-CN"/>
        </w:rPr>
        <w:t>《</w:t>
      </w:r>
      <w:r>
        <w:rPr>
          <w:rFonts w:hint="eastAsia" w:ascii="Times New Roman" w:hAnsi="Times New Roman" w:eastAsia="仿宋" w:cs="Times New Roman"/>
          <w:b/>
          <w:bCs/>
          <w:sz w:val="32"/>
          <w:lang w:val="en-US" w:eastAsia="zh-CN"/>
        </w:rPr>
        <w:t>果酱</w:t>
      </w:r>
      <w:r>
        <w:rPr>
          <w:rFonts w:hint="eastAsia" w:eastAsia="仿宋" w:cs="Times New Roman"/>
          <w:b/>
          <w:bCs/>
          <w:sz w:val="32"/>
          <w:lang w:val="en-US" w:eastAsia="zh-CN"/>
        </w:rPr>
        <w:t>》中对果酱的定义。</w:t>
      </w:r>
    </w:p>
    <w:p w14:paraId="0AA4331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4 技术要求</w:t>
      </w:r>
    </w:p>
    <w:p w14:paraId="5847F0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4.1 原料要求</w:t>
      </w:r>
    </w:p>
    <w:p w14:paraId="5AEC3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原料应符合相应的食品标准和有关规定。</w:t>
      </w:r>
    </w:p>
    <w:p w14:paraId="3406478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4.2 感官要求</w:t>
      </w:r>
    </w:p>
    <w:p w14:paraId="6FF3A6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感官要求应符合表 1 的规定。</w:t>
      </w:r>
    </w:p>
    <w:p w14:paraId="71537B69">
      <w:pPr>
        <w:pStyle w:val="8"/>
        <w:numPr>
          <w:ilvl w:val="2"/>
          <w:numId w:val="0"/>
        </w:numPr>
        <w:spacing w:before="156" w:after="156"/>
        <w:jc w:val="center"/>
      </w:pPr>
      <w:r>
        <w:rPr>
          <w:rFonts w:hint="eastAsia"/>
        </w:rPr>
        <w:t>表 1   感官要求</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3091"/>
        <w:gridCol w:w="3621"/>
      </w:tblGrid>
      <w:tr w14:paraId="395D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997" w:type="dxa"/>
            <w:vAlign w:val="center"/>
          </w:tcPr>
          <w:p w14:paraId="2AB2631B">
            <w:pPr>
              <w:pStyle w:val="10"/>
              <w:widowControl w:val="0"/>
              <w:ind w:firstLine="0" w:firstLineChars="0"/>
              <w:jc w:val="center"/>
            </w:pPr>
            <w:r>
              <w:rPr>
                <w:rFonts w:hint="eastAsia"/>
              </w:rPr>
              <w:t>项目</w:t>
            </w:r>
          </w:p>
        </w:tc>
        <w:tc>
          <w:tcPr>
            <w:tcW w:w="3480" w:type="dxa"/>
            <w:vAlign w:val="center"/>
          </w:tcPr>
          <w:p w14:paraId="1890D54F">
            <w:pPr>
              <w:pStyle w:val="10"/>
              <w:widowControl w:val="0"/>
              <w:ind w:firstLine="0" w:firstLineChars="0"/>
              <w:jc w:val="center"/>
            </w:pPr>
            <w:r>
              <w:rPr>
                <w:rFonts w:hint="eastAsia"/>
              </w:rPr>
              <w:t>要求</w:t>
            </w:r>
          </w:p>
        </w:tc>
        <w:tc>
          <w:tcPr>
            <w:tcW w:w="4094" w:type="dxa"/>
            <w:vAlign w:val="center"/>
          </w:tcPr>
          <w:p w14:paraId="0753EAA7">
            <w:pPr>
              <w:pStyle w:val="10"/>
              <w:widowControl w:val="0"/>
              <w:ind w:firstLine="0" w:firstLineChars="0"/>
              <w:jc w:val="center"/>
            </w:pPr>
            <w:r>
              <w:rPr>
                <w:rFonts w:hint="eastAsia"/>
              </w:rPr>
              <w:t>检验方法</w:t>
            </w:r>
          </w:p>
        </w:tc>
      </w:tr>
      <w:tr w14:paraId="3EE9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97" w:type="dxa"/>
            <w:vAlign w:val="center"/>
          </w:tcPr>
          <w:p w14:paraId="5EFE86F8">
            <w:pPr>
              <w:pStyle w:val="10"/>
              <w:widowControl w:val="0"/>
              <w:ind w:firstLine="0" w:firstLineChars="0"/>
            </w:pPr>
            <w:r>
              <w:rPr>
                <w:rFonts w:hint="eastAsia"/>
              </w:rPr>
              <w:t>色泽</w:t>
            </w:r>
          </w:p>
        </w:tc>
        <w:tc>
          <w:tcPr>
            <w:tcW w:w="3480" w:type="dxa"/>
            <w:vAlign w:val="center"/>
          </w:tcPr>
          <w:p w14:paraId="658CCA0F">
            <w:pPr>
              <w:pStyle w:val="10"/>
              <w:widowControl w:val="0"/>
              <w:ind w:firstLine="0" w:firstLineChars="0"/>
            </w:pPr>
            <w:r>
              <w:t>具有产品应有的色泽</w:t>
            </w:r>
          </w:p>
        </w:tc>
        <w:tc>
          <w:tcPr>
            <w:tcW w:w="4094" w:type="dxa"/>
            <w:vMerge w:val="restart"/>
            <w:vAlign w:val="center"/>
          </w:tcPr>
          <w:p w14:paraId="118BE553">
            <w:pPr>
              <w:pStyle w:val="10"/>
              <w:widowControl w:val="0"/>
              <w:ind w:firstLine="0" w:firstLineChars="0"/>
            </w:pPr>
            <w:r>
              <w:t>取适量试样置于洁净的白色盘(瓷盘或同类容器)中</w:t>
            </w:r>
            <w:r>
              <w:rPr>
                <w:rFonts w:hint="eastAsia"/>
                <w:lang w:eastAsia="zh-CN"/>
              </w:rPr>
              <w:t>，</w:t>
            </w:r>
            <w:r>
              <w:t>在自然光下观察色泽和状态</w:t>
            </w:r>
            <w:r>
              <w:rPr>
                <w:rFonts w:hint="eastAsia"/>
                <w:lang w:eastAsia="zh-CN"/>
              </w:rPr>
              <w:t>，</w:t>
            </w:r>
            <w:r>
              <w:t>闻其气味</w:t>
            </w:r>
            <w:r>
              <w:rPr>
                <w:rFonts w:hint="eastAsia"/>
                <w:lang w:eastAsia="zh-CN"/>
              </w:rPr>
              <w:t>，</w:t>
            </w:r>
            <w:r>
              <w:t>供直接食用的</w:t>
            </w:r>
            <w:r>
              <w:rPr>
                <w:rFonts w:hint="eastAsia"/>
              </w:rPr>
              <w:t>余甘子</w:t>
            </w:r>
            <w:r>
              <w:t>及其制品还应用温开水漱口</w:t>
            </w:r>
            <w:r>
              <w:rPr>
                <w:rFonts w:hint="eastAsia"/>
                <w:lang w:eastAsia="zh-CN"/>
              </w:rPr>
              <w:t>，</w:t>
            </w:r>
            <w:r>
              <w:t>品尝滋味</w:t>
            </w:r>
          </w:p>
        </w:tc>
      </w:tr>
      <w:tr w14:paraId="419B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97" w:type="dxa"/>
            <w:vAlign w:val="center"/>
          </w:tcPr>
          <w:p w14:paraId="1777A0A3">
            <w:pPr>
              <w:pStyle w:val="10"/>
              <w:widowControl w:val="0"/>
              <w:ind w:firstLine="0" w:firstLineChars="0"/>
            </w:pPr>
            <w:r>
              <w:rPr>
                <w:rFonts w:hint="eastAsia"/>
              </w:rPr>
              <w:t>滋味、气味</w:t>
            </w:r>
          </w:p>
        </w:tc>
        <w:tc>
          <w:tcPr>
            <w:tcW w:w="3480" w:type="dxa"/>
            <w:vAlign w:val="center"/>
          </w:tcPr>
          <w:p w14:paraId="635A5B23">
            <w:pPr>
              <w:pStyle w:val="10"/>
              <w:widowControl w:val="0"/>
              <w:ind w:firstLine="0" w:firstLineChars="0"/>
            </w:pPr>
            <w:r>
              <w:t>具有产品应有的滋味和气味,无异味</w:t>
            </w:r>
          </w:p>
        </w:tc>
        <w:tc>
          <w:tcPr>
            <w:tcW w:w="4094" w:type="dxa"/>
            <w:vMerge w:val="continue"/>
            <w:vAlign w:val="center"/>
          </w:tcPr>
          <w:p w14:paraId="1C674A53">
            <w:pPr>
              <w:pStyle w:val="10"/>
              <w:widowControl w:val="0"/>
              <w:ind w:firstLine="420"/>
            </w:pPr>
          </w:p>
        </w:tc>
      </w:tr>
      <w:tr w14:paraId="0C6B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997" w:type="dxa"/>
            <w:vAlign w:val="center"/>
          </w:tcPr>
          <w:p w14:paraId="73985EA2">
            <w:pPr>
              <w:pStyle w:val="10"/>
              <w:widowControl w:val="0"/>
              <w:ind w:firstLine="0" w:firstLineChars="0"/>
            </w:pPr>
            <w:r>
              <w:rPr>
                <w:rFonts w:hint="eastAsia"/>
              </w:rPr>
              <w:t>状态</w:t>
            </w:r>
          </w:p>
        </w:tc>
        <w:tc>
          <w:tcPr>
            <w:tcW w:w="3480" w:type="dxa"/>
            <w:vAlign w:val="center"/>
          </w:tcPr>
          <w:p w14:paraId="5DBC16D7">
            <w:pPr>
              <w:pStyle w:val="10"/>
              <w:widowControl w:val="0"/>
              <w:ind w:firstLine="0" w:firstLineChars="0"/>
            </w:pPr>
            <w:r>
              <w:t>具有产品应有的状态,无霉斑、无变质</w:t>
            </w:r>
            <w:r>
              <w:rPr>
                <w:rFonts w:hint="eastAsia"/>
                <w:lang w:eastAsia="zh-CN"/>
              </w:rPr>
              <w:t>，</w:t>
            </w:r>
            <w:r>
              <w:t>无正常视力可见外来异物</w:t>
            </w:r>
          </w:p>
        </w:tc>
        <w:tc>
          <w:tcPr>
            <w:tcW w:w="4094" w:type="dxa"/>
            <w:vMerge w:val="continue"/>
            <w:vAlign w:val="center"/>
          </w:tcPr>
          <w:p w14:paraId="13C5200F">
            <w:pPr>
              <w:pStyle w:val="10"/>
              <w:widowControl w:val="0"/>
              <w:ind w:firstLine="420"/>
            </w:pPr>
          </w:p>
        </w:tc>
      </w:tr>
    </w:tbl>
    <w:p w14:paraId="39B90E9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eastAsia="仿宋" w:cs="Times New Roman"/>
          <w:b/>
          <w:bCs/>
          <w:sz w:val="32"/>
          <w:lang w:val="en-US" w:eastAsia="zh-CN"/>
        </w:rPr>
      </w:pPr>
      <w:r>
        <w:rPr>
          <w:rFonts w:hint="eastAsia" w:eastAsia="仿宋" w:cs="Times New Roman"/>
          <w:b/>
          <w:bCs/>
          <w:sz w:val="32"/>
          <w:lang w:val="en-US" w:eastAsia="zh-CN"/>
        </w:rPr>
        <w:t>原料和感官要求参考并引用</w:t>
      </w:r>
      <w:r>
        <w:rPr>
          <w:rFonts w:hint="eastAsia" w:ascii="Times New Roman" w:hAnsi="Times New Roman" w:eastAsia="仿宋" w:cs="Times New Roman"/>
          <w:b/>
          <w:bCs/>
          <w:sz w:val="32"/>
          <w:lang w:val="en-US" w:eastAsia="zh-CN"/>
        </w:rPr>
        <w:t>GB14884</w:t>
      </w:r>
      <w:r>
        <w:rPr>
          <w:rFonts w:hint="eastAsia" w:eastAsia="仿宋" w:cs="Times New Roman"/>
          <w:b/>
          <w:bCs/>
          <w:sz w:val="32"/>
          <w:lang w:val="en-US" w:eastAsia="zh-CN"/>
        </w:rPr>
        <w:t>-</w:t>
      </w:r>
      <w:r>
        <w:rPr>
          <w:rFonts w:hint="eastAsia" w:ascii="Times New Roman" w:hAnsi="Times New Roman" w:eastAsia="仿宋" w:cs="Times New Roman"/>
          <w:b/>
          <w:bCs/>
          <w:sz w:val="32"/>
          <w:lang w:val="en-US" w:eastAsia="zh-CN"/>
        </w:rPr>
        <w:t>2016</w:t>
      </w:r>
      <w:r>
        <w:rPr>
          <w:rFonts w:hint="eastAsia" w:eastAsia="仿宋" w:cs="Times New Roman"/>
          <w:b/>
          <w:bCs/>
          <w:sz w:val="32"/>
          <w:lang w:val="en-US" w:eastAsia="zh-CN"/>
        </w:rPr>
        <w:t>《食品安全国家标准 蜜饯》</w:t>
      </w:r>
    </w:p>
    <w:p w14:paraId="757C0F4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Arial"/>
          <w:sz w:val="32"/>
          <w:lang w:val="en-US" w:eastAsia="zh-CN"/>
        </w:rPr>
      </w:pPr>
      <w:r>
        <w:rPr>
          <w:rFonts w:hint="eastAsia" w:eastAsia="方正仿宋_GB2312" w:cs="Arial"/>
          <w:sz w:val="32"/>
          <w:lang w:val="en-US" w:eastAsia="zh-CN"/>
        </w:rPr>
        <w:t>4.3 理化指标</w:t>
      </w:r>
    </w:p>
    <w:p w14:paraId="7E23A4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理化指标应符合表 2 的规定。</w:t>
      </w:r>
    </w:p>
    <w:p w14:paraId="78DFA113">
      <w:pPr>
        <w:pStyle w:val="8"/>
        <w:numPr>
          <w:ilvl w:val="2"/>
          <w:numId w:val="0"/>
        </w:numPr>
        <w:spacing w:before="156" w:after="156"/>
        <w:jc w:val="center"/>
      </w:pPr>
      <w:r>
        <w:rPr>
          <w:rFonts w:hint="eastAsia"/>
        </w:rPr>
        <w:t>表 2   理化指标</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5"/>
        <w:gridCol w:w="2388"/>
        <w:gridCol w:w="2839"/>
      </w:tblGrid>
      <w:tr w14:paraId="651C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295" w:type="dxa"/>
            <w:vAlign w:val="center"/>
          </w:tcPr>
          <w:p w14:paraId="363357D4">
            <w:pPr>
              <w:pStyle w:val="10"/>
              <w:widowControl w:val="0"/>
              <w:ind w:firstLine="0" w:firstLineChars="0"/>
              <w:jc w:val="center"/>
            </w:pPr>
            <w:r>
              <w:rPr>
                <w:rFonts w:hint="eastAsia"/>
              </w:rPr>
              <w:t>项目</w:t>
            </w:r>
          </w:p>
        </w:tc>
        <w:tc>
          <w:tcPr>
            <w:tcW w:w="2388" w:type="dxa"/>
            <w:vAlign w:val="center"/>
          </w:tcPr>
          <w:p w14:paraId="6ABD38A7">
            <w:pPr>
              <w:pStyle w:val="10"/>
              <w:widowControl w:val="0"/>
              <w:ind w:firstLine="0" w:firstLineChars="0"/>
              <w:jc w:val="center"/>
            </w:pPr>
            <w:r>
              <w:rPr>
                <w:rFonts w:hint="eastAsia"/>
              </w:rPr>
              <w:t>要求</w:t>
            </w:r>
          </w:p>
        </w:tc>
        <w:tc>
          <w:tcPr>
            <w:tcW w:w="2839" w:type="dxa"/>
            <w:vAlign w:val="center"/>
          </w:tcPr>
          <w:p w14:paraId="78335A4C">
            <w:pPr>
              <w:pStyle w:val="10"/>
              <w:widowControl w:val="0"/>
              <w:ind w:firstLine="0" w:firstLineChars="0"/>
              <w:jc w:val="center"/>
            </w:pPr>
            <w:r>
              <w:rPr>
                <w:rFonts w:hint="eastAsia"/>
              </w:rPr>
              <w:t>检验方法</w:t>
            </w:r>
          </w:p>
        </w:tc>
      </w:tr>
      <w:tr w14:paraId="3C16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295" w:type="dxa"/>
            <w:tcBorders>
              <w:bottom w:val="nil"/>
            </w:tcBorders>
            <w:vAlign w:val="center"/>
          </w:tcPr>
          <w:p w14:paraId="7FCE71B4">
            <w:pPr>
              <w:pStyle w:val="10"/>
              <w:widowControl w:val="0"/>
              <w:ind w:firstLine="0" w:firstLineChars="0"/>
              <w:rPr>
                <w:rFonts w:ascii="Times New Roman"/>
              </w:rPr>
            </w:pPr>
            <w:r>
              <w:rPr>
                <w:rFonts w:ascii="Times New Roman"/>
              </w:rPr>
              <w:t>水分/（g/100g）</w:t>
            </w:r>
          </w:p>
        </w:tc>
        <w:tc>
          <w:tcPr>
            <w:tcW w:w="2388" w:type="dxa"/>
            <w:tcBorders>
              <w:bottom w:val="nil"/>
            </w:tcBorders>
            <w:vAlign w:val="center"/>
          </w:tcPr>
          <w:p w14:paraId="2DED1175">
            <w:pPr>
              <w:pStyle w:val="10"/>
              <w:widowControl w:val="0"/>
              <w:ind w:firstLine="0" w:firstLineChars="0"/>
              <w:rPr>
                <w:rFonts w:ascii="Times New Roman"/>
              </w:rPr>
            </w:pPr>
          </w:p>
        </w:tc>
        <w:tc>
          <w:tcPr>
            <w:tcW w:w="2839" w:type="dxa"/>
            <w:vMerge w:val="restart"/>
            <w:vAlign w:val="center"/>
          </w:tcPr>
          <w:p w14:paraId="7AC39423">
            <w:pPr>
              <w:pStyle w:val="10"/>
              <w:widowControl w:val="0"/>
              <w:ind w:firstLine="0" w:firstLineChars="0"/>
              <w:jc w:val="center"/>
              <w:rPr>
                <w:rFonts w:ascii="Times New Roman"/>
              </w:rPr>
            </w:pPr>
            <w:r>
              <w:rPr>
                <w:rFonts w:ascii="Times New Roman"/>
              </w:rPr>
              <w:t>GB 5009.3</w:t>
            </w:r>
          </w:p>
        </w:tc>
      </w:tr>
      <w:tr w14:paraId="07A5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295" w:type="dxa"/>
            <w:tcBorders>
              <w:top w:val="nil"/>
            </w:tcBorders>
            <w:vAlign w:val="center"/>
          </w:tcPr>
          <w:p w14:paraId="56768A1E">
            <w:pPr>
              <w:pStyle w:val="10"/>
              <w:widowControl w:val="0"/>
              <w:ind w:firstLine="0" w:firstLineChars="0"/>
              <w:rPr>
                <w:rFonts w:ascii="Times New Roman"/>
              </w:rPr>
            </w:pPr>
            <w:r>
              <w:rPr>
                <w:rFonts w:ascii="Times New Roman"/>
              </w:rPr>
              <w:t xml:space="preserve">    余甘子果干           </w:t>
            </w:r>
            <w:r>
              <w:rPr>
                <w:rFonts w:hint="eastAsia" w:ascii="仿宋" w:hAnsi="仿宋" w:eastAsia="仿宋" w:cs="仿宋"/>
              </w:rPr>
              <w:t xml:space="preserve"> ≤</w:t>
            </w:r>
          </w:p>
        </w:tc>
        <w:tc>
          <w:tcPr>
            <w:tcW w:w="2388" w:type="dxa"/>
            <w:tcBorders>
              <w:top w:val="nil"/>
            </w:tcBorders>
            <w:vAlign w:val="center"/>
          </w:tcPr>
          <w:p w14:paraId="1C9D950A">
            <w:pPr>
              <w:pStyle w:val="10"/>
              <w:widowControl w:val="0"/>
              <w:ind w:firstLine="0" w:firstLineChars="0"/>
              <w:jc w:val="center"/>
              <w:rPr>
                <w:rFonts w:ascii="Times New Roman"/>
              </w:rPr>
            </w:pPr>
            <w:r>
              <w:rPr>
                <w:rFonts w:ascii="Times New Roman"/>
              </w:rPr>
              <w:t>25</w:t>
            </w:r>
          </w:p>
        </w:tc>
        <w:tc>
          <w:tcPr>
            <w:tcW w:w="2839" w:type="dxa"/>
            <w:vMerge w:val="continue"/>
            <w:vAlign w:val="center"/>
          </w:tcPr>
          <w:p w14:paraId="646B68F0">
            <w:pPr>
              <w:pStyle w:val="10"/>
              <w:widowControl w:val="0"/>
              <w:ind w:firstLine="0" w:firstLineChars="0"/>
              <w:jc w:val="center"/>
              <w:rPr>
                <w:rFonts w:ascii="Times New Roman"/>
              </w:rPr>
            </w:pPr>
          </w:p>
        </w:tc>
      </w:tr>
    </w:tbl>
    <w:p w14:paraId="4F89F13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余甘子果干水分含量指标参考</w:t>
      </w:r>
    </w:p>
    <w:p w14:paraId="3CBDE2AC">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13" w:leftChars="0" w:firstLine="643" w:firstLineChars="0"/>
        <w:textAlignment w:val="auto"/>
        <w:rPr>
          <w:rFonts w:hint="eastAsia" w:eastAsia="仿宋" w:cs="Times New Roman"/>
          <w:b/>
          <w:bCs/>
          <w:sz w:val="32"/>
          <w:lang w:val="en-US" w:eastAsia="zh-CN"/>
        </w:rPr>
      </w:pPr>
      <w:r>
        <w:rPr>
          <w:rFonts w:hint="eastAsia" w:eastAsia="仿宋" w:cs="Times New Roman"/>
          <w:b/>
          <w:bCs/>
          <w:sz w:val="32"/>
          <w:lang w:val="en-US" w:eastAsia="zh-CN"/>
        </w:rPr>
        <w:t>GB/T 5835-2009《干制红枣》 水分 ≤25g/100g；</w:t>
      </w:r>
    </w:p>
    <w:p w14:paraId="287424DB">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13" w:leftChars="0" w:firstLine="643" w:firstLineChars="0"/>
        <w:textAlignment w:val="auto"/>
        <w:rPr>
          <w:rFonts w:hint="default" w:eastAsia="仿宋" w:cs="Times New Roman"/>
          <w:b/>
          <w:bCs/>
          <w:sz w:val="32"/>
          <w:lang w:val="en-US" w:eastAsia="zh-CN"/>
        </w:rPr>
      </w:pPr>
      <w:r>
        <w:rPr>
          <w:rFonts w:hint="eastAsia" w:eastAsia="仿宋" w:cs="Times New Roman"/>
          <w:b/>
          <w:bCs/>
          <w:sz w:val="32"/>
          <w:lang w:val="en-US" w:eastAsia="zh-CN"/>
        </w:rPr>
        <w:t>GB 16325-2005《干果食品卫生标准》中桂圆干水分≤25g/100g、荔枝干水分≤25g/100g；</w:t>
      </w:r>
    </w:p>
    <w:p w14:paraId="6B458114">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13" w:leftChars="0" w:firstLine="643" w:firstLineChars="0"/>
        <w:textAlignment w:val="auto"/>
        <w:rPr>
          <w:rFonts w:hint="default" w:eastAsia="仿宋" w:cs="Times New Roman"/>
          <w:b/>
          <w:bCs/>
          <w:sz w:val="32"/>
          <w:lang w:val="en-US" w:eastAsia="zh-CN"/>
        </w:rPr>
      </w:pPr>
      <w:r>
        <w:rPr>
          <w:rFonts w:hint="default" w:eastAsia="仿宋" w:cs="Times New Roman"/>
          <w:b/>
          <w:bCs/>
          <w:sz w:val="32"/>
          <w:lang w:val="en-US" w:eastAsia="zh-CN"/>
        </w:rPr>
        <w:t>NY/T 1041-2018</w:t>
      </w:r>
      <w:r>
        <w:rPr>
          <w:rFonts w:hint="eastAsia" w:eastAsia="仿宋" w:cs="Times New Roman"/>
          <w:b/>
          <w:bCs/>
          <w:sz w:val="32"/>
          <w:lang w:val="en-US" w:eastAsia="zh-CN"/>
        </w:rPr>
        <w:t>《</w:t>
      </w:r>
      <w:r>
        <w:rPr>
          <w:rFonts w:hint="default" w:eastAsia="仿宋" w:cs="Times New Roman"/>
          <w:b/>
          <w:bCs/>
          <w:sz w:val="32"/>
          <w:lang w:val="en-US" w:eastAsia="zh-CN"/>
        </w:rPr>
        <w:t>绿色食品 干果</w:t>
      </w:r>
      <w:r>
        <w:rPr>
          <w:rFonts w:hint="eastAsia" w:eastAsia="仿宋" w:cs="Times New Roman"/>
          <w:b/>
          <w:bCs/>
          <w:sz w:val="32"/>
          <w:lang w:val="en-US" w:eastAsia="zh-CN"/>
        </w:rPr>
        <w:t>》中荔枝干、桂圆干水分≤25g/100g、草莓干、莓干≤25g/100g、酸梅（乌梅）干≤25g/100g。</w:t>
      </w:r>
    </w:p>
    <w:p w14:paraId="61FF743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eastAsia="仿宋" w:cs="Times New Roman"/>
          <w:b/>
          <w:bCs/>
          <w:sz w:val="32"/>
          <w:lang w:val="en-US" w:eastAsia="zh-CN"/>
        </w:rPr>
      </w:pPr>
      <w:r>
        <w:rPr>
          <w:rFonts w:hint="eastAsia" w:eastAsia="仿宋" w:cs="Times New Roman"/>
          <w:b/>
          <w:bCs/>
          <w:sz w:val="32"/>
          <w:lang w:val="en-US" w:eastAsia="zh-CN"/>
        </w:rPr>
        <w:t xml:space="preserve">    余甘子果干未引用GB 16325总酸的指标，是经过试验检测，不同产地、成熟度的总酸含量差异较大，不适宜作为限定指标。</w:t>
      </w:r>
    </w:p>
    <w:p w14:paraId="5DEED88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4.4 农药残留限量</w:t>
      </w:r>
    </w:p>
    <w:p w14:paraId="2EF51E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农药残留限量应符合 GB 2763 的规定。</w:t>
      </w:r>
    </w:p>
    <w:p w14:paraId="0C97CAA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4.5 污染物限量</w:t>
      </w:r>
    </w:p>
    <w:p w14:paraId="36467D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污染物限量应符合 GB 2762 的规定。</w:t>
      </w:r>
    </w:p>
    <w:p w14:paraId="4DFADB8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余甘子作为热带水果，余甘子及其制品应符合农药残留和污染物限量的要求。</w:t>
      </w:r>
    </w:p>
    <w:p w14:paraId="495120B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4.6 微生物限量</w:t>
      </w:r>
    </w:p>
    <w:p w14:paraId="4861849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Arial"/>
          <w:sz w:val="32"/>
          <w:lang w:val="en-US" w:eastAsia="zh-CN"/>
        </w:rPr>
      </w:pPr>
      <w:r>
        <w:rPr>
          <w:rFonts w:hint="eastAsia" w:eastAsia="方正仿宋_GB2312" w:cs="Arial"/>
          <w:sz w:val="32"/>
          <w:lang w:val="en-US" w:eastAsia="zh-CN"/>
        </w:rPr>
        <w:t>4.6.1  余甘子制品致病菌限量应符合 GB 29921 中即食果蔬制品类的规定。</w:t>
      </w:r>
    </w:p>
    <w:p w14:paraId="07786F6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余甘子制品为预包装食品，应符合GB 29921-2021 《食品安全国家标准 预包装食品中致病菌限量》中即食果蔬制品类的规定。</w:t>
      </w:r>
    </w:p>
    <w:p w14:paraId="0F9FD8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4.6.2  按罐头工艺生产的余甘子制品应符合罐头食品商业无菌要求，按GB 4789.26 规定的方法检验。</w:t>
      </w:r>
    </w:p>
    <w:p w14:paraId="33C017C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按照罐头工艺生产的余甘子果酱应符合商业无菌要求。</w:t>
      </w:r>
    </w:p>
    <w:p w14:paraId="6A0B86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Arial"/>
          <w:sz w:val="32"/>
          <w:lang w:val="en-US" w:eastAsia="zh-CN"/>
        </w:rPr>
      </w:pPr>
      <w:r>
        <w:rPr>
          <w:rFonts w:hint="eastAsia" w:eastAsia="方正仿宋_GB2312" w:cs="Arial"/>
          <w:sz w:val="32"/>
          <w:lang w:val="en-US" w:eastAsia="zh-CN"/>
        </w:rPr>
        <w:t>4.6.3  非罐头工艺生产的余甘子制品微生物限量应符合表 3 的规定。</w:t>
      </w:r>
    </w:p>
    <w:p w14:paraId="064C20F7">
      <w:pPr>
        <w:pStyle w:val="8"/>
        <w:numPr>
          <w:ilvl w:val="2"/>
          <w:numId w:val="0"/>
        </w:numPr>
        <w:spacing w:before="156" w:after="156"/>
        <w:jc w:val="center"/>
      </w:pPr>
      <w:r>
        <w:rPr>
          <w:rFonts w:hint="eastAsia"/>
        </w:rPr>
        <w:t>表 3   微生物限量</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1"/>
        <w:gridCol w:w="823"/>
        <w:gridCol w:w="823"/>
        <w:gridCol w:w="864"/>
        <w:gridCol w:w="872"/>
        <w:gridCol w:w="2099"/>
      </w:tblGrid>
      <w:tr w14:paraId="343A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vAlign w:val="center"/>
          </w:tcPr>
          <w:p w14:paraId="31996153">
            <w:pPr>
              <w:pStyle w:val="10"/>
              <w:widowControl w:val="0"/>
              <w:ind w:firstLine="0" w:firstLineChars="0"/>
              <w:jc w:val="center"/>
            </w:pPr>
            <w:r>
              <w:rPr>
                <w:rFonts w:hint="eastAsia"/>
              </w:rPr>
              <w:t>项目</w:t>
            </w:r>
          </w:p>
        </w:tc>
        <w:tc>
          <w:tcPr>
            <w:tcW w:w="3507" w:type="dxa"/>
            <w:gridSpan w:val="4"/>
            <w:vAlign w:val="center"/>
          </w:tcPr>
          <w:p w14:paraId="64376C77">
            <w:pPr>
              <w:pStyle w:val="10"/>
              <w:widowControl w:val="0"/>
              <w:ind w:firstLine="0" w:firstLineChars="0"/>
              <w:jc w:val="center"/>
            </w:pPr>
            <w:r>
              <w:rPr>
                <w:rFonts w:hint="eastAsia"/>
              </w:rPr>
              <w:t>采样方案</w:t>
            </w:r>
            <w:r>
              <w:rPr>
                <w:rFonts w:hint="eastAsia"/>
                <w:vertAlign w:val="superscript"/>
              </w:rPr>
              <w:t>a</w:t>
            </w:r>
            <w:r>
              <w:rPr>
                <w:rFonts w:hint="eastAsia"/>
              </w:rPr>
              <w:t>及限量</w:t>
            </w:r>
          </w:p>
        </w:tc>
        <w:tc>
          <w:tcPr>
            <w:tcW w:w="2184" w:type="dxa"/>
            <w:vMerge w:val="restart"/>
            <w:vAlign w:val="center"/>
          </w:tcPr>
          <w:p w14:paraId="3D48FDBA">
            <w:pPr>
              <w:pStyle w:val="10"/>
              <w:widowControl w:val="0"/>
              <w:ind w:firstLine="0" w:firstLineChars="0"/>
              <w:jc w:val="center"/>
            </w:pPr>
            <w:r>
              <w:rPr>
                <w:rFonts w:hint="eastAsia"/>
              </w:rPr>
              <w:t>检验方法</w:t>
            </w:r>
          </w:p>
        </w:tc>
      </w:tr>
      <w:tr w14:paraId="18DB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vAlign w:val="center"/>
          </w:tcPr>
          <w:p w14:paraId="488C66C8">
            <w:pPr>
              <w:pStyle w:val="10"/>
              <w:widowControl w:val="0"/>
              <w:ind w:firstLine="0" w:firstLineChars="0"/>
              <w:jc w:val="center"/>
              <w:rPr>
                <w:rFonts w:ascii="Times New Roman"/>
              </w:rPr>
            </w:pPr>
          </w:p>
        </w:tc>
        <w:tc>
          <w:tcPr>
            <w:tcW w:w="859" w:type="dxa"/>
            <w:vAlign w:val="center"/>
          </w:tcPr>
          <w:p w14:paraId="4D4FE571">
            <w:pPr>
              <w:pStyle w:val="10"/>
              <w:widowControl w:val="0"/>
              <w:ind w:firstLine="0" w:firstLineChars="0"/>
              <w:jc w:val="center"/>
              <w:rPr>
                <w:rFonts w:ascii="Times New Roman"/>
              </w:rPr>
            </w:pPr>
            <w:r>
              <w:rPr>
                <w:rFonts w:hint="eastAsia" w:ascii="Times New Roman"/>
              </w:rPr>
              <w:t>n</w:t>
            </w:r>
          </w:p>
        </w:tc>
        <w:tc>
          <w:tcPr>
            <w:tcW w:w="859" w:type="dxa"/>
            <w:vAlign w:val="center"/>
          </w:tcPr>
          <w:p w14:paraId="0D21F147">
            <w:pPr>
              <w:pStyle w:val="10"/>
              <w:widowControl w:val="0"/>
              <w:ind w:firstLine="0" w:firstLineChars="0"/>
              <w:jc w:val="center"/>
              <w:rPr>
                <w:rFonts w:ascii="Times New Roman"/>
              </w:rPr>
            </w:pPr>
            <w:r>
              <w:rPr>
                <w:rFonts w:hint="eastAsia" w:ascii="Times New Roman"/>
              </w:rPr>
              <w:t>c</w:t>
            </w:r>
          </w:p>
        </w:tc>
        <w:tc>
          <w:tcPr>
            <w:tcW w:w="890" w:type="dxa"/>
            <w:vAlign w:val="center"/>
          </w:tcPr>
          <w:p w14:paraId="6A31E05F">
            <w:pPr>
              <w:pStyle w:val="10"/>
              <w:widowControl w:val="0"/>
              <w:ind w:firstLine="0" w:firstLineChars="0"/>
              <w:jc w:val="center"/>
              <w:rPr>
                <w:rFonts w:ascii="Times New Roman"/>
              </w:rPr>
            </w:pPr>
            <w:r>
              <w:rPr>
                <w:rFonts w:hint="eastAsia" w:ascii="Times New Roman"/>
              </w:rPr>
              <w:t>m</w:t>
            </w:r>
          </w:p>
        </w:tc>
        <w:tc>
          <w:tcPr>
            <w:tcW w:w="899" w:type="dxa"/>
            <w:vAlign w:val="center"/>
          </w:tcPr>
          <w:p w14:paraId="16798377">
            <w:pPr>
              <w:pStyle w:val="10"/>
              <w:widowControl w:val="0"/>
              <w:ind w:firstLine="0" w:firstLineChars="0"/>
              <w:jc w:val="center"/>
              <w:rPr>
                <w:rFonts w:ascii="Times New Roman"/>
              </w:rPr>
            </w:pPr>
            <w:r>
              <w:rPr>
                <w:rFonts w:hint="eastAsia" w:ascii="Times New Roman"/>
              </w:rPr>
              <w:t>M</w:t>
            </w:r>
          </w:p>
        </w:tc>
        <w:tc>
          <w:tcPr>
            <w:tcW w:w="2184" w:type="dxa"/>
            <w:vMerge w:val="continue"/>
            <w:vAlign w:val="center"/>
          </w:tcPr>
          <w:p w14:paraId="4EB535BC">
            <w:pPr>
              <w:pStyle w:val="10"/>
              <w:widowControl w:val="0"/>
              <w:ind w:firstLine="0" w:firstLineChars="0"/>
              <w:jc w:val="center"/>
              <w:rPr>
                <w:rFonts w:ascii="Times New Roman"/>
              </w:rPr>
            </w:pPr>
          </w:p>
        </w:tc>
      </w:tr>
      <w:tr w14:paraId="2C51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tcBorders>
              <w:bottom w:val="single" w:color="auto" w:sz="4" w:space="0"/>
            </w:tcBorders>
            <w:vAlign w:val="center"/>
          </w:tcPr>
          <w:p w14:paraId="305BAED8">
            <w:pPr>
              <w:pStyle w:val="10"/>
              <w:widowControl w:val="0"/>
              <w:ind w:firstLine="0" w:firstLineChars="0"/>
              <w:rPr>
                <w:rFonts w:ascii="Times New Roman"/>
              </w:rPr>
            </w:pPr>
            <w:r>
              <w:rPr>
                <w:rFonts w:ascii="Times New Roman"/>
              </w:rPr>
              <w:t>菌落总数/</w:t>
            </w:r>
            <w:r>
              <w:rPr>
                <w:rFonts w:hint="eastAsia" w:ascii="Times New Roman"/>
              </w:rPr>
              <w:t>（</w:t>
            </w:r>
            <w:r>
              <w:rPr>
                <w:rFonts w:ascii="Times New Roman"/>
              </w:rPr>
              <w:t>CFU/g</w:t>
            </w:r>
            <w:r>
              <w:rPr>
                <w:rFonts w:hint="eastAsia" w:ascii="Times New Roman"/>
              </w:rPr>
              <w:t>）</w:t>
            </w:r>
          </w:p>
        </w:tc>
        <w:tc>
          <w:tcPr>
            <w:tcW w:w="859" w:type="dxa"/>
            <w:tcBorders>
              <w:bottom w:val="single" w:color="auto" w:sz="4" w:space="0"/>
            </w:tcBorders>
            <w:vAlign w:val="center"/>
          </w:tcPr>
          <w:p w14:paraId="484F5DC0">
            <w:pPr>
              <w:pStyle w:val="10"/>
              <w:widowControl w:val="0"/>
              <w:ind w:firstLine="0" w:firstLineChars="0"/>
              <w:jc w:val="center"/>
              <w:rPr>
                <w:rFonts w:ascii="Times New Roman"/>
              </w:rPr>
            </w:pPr>
            <w:r>
              <w:rPr>
                <w:rFonts w:hint="eastAsia" w:ascii="Times New Roman"/>
              </w:rPr>
              <w:t>5</w:t>
            </w:r>
          </w:p>
        </w:tc>
        <w:tc>
          <w:tcPr>
            <w:tcW w:w="859" w:type="dxa"/>
            <w:tcBorders>
              <w:bottom w:val="single" w:color="auto" w:sz="4" w:space="0"/>
            </w:tcBorders>
            <w:vAlign w:val="center"/>
          </w:tcPr>
          <w:p w14:paraId="27CC5AF4">
            <w:pPr>
              <w:pStyle w:val="10"/>
              <w:widowControl w:val="0"/>
              <w:ind w:firstLine="0" w:firstLineChars="0"/>
              <w:jc w:val="center"/>
              <w:rPr>
                <w:rFonts w:ascii="Times New Roman"/>
              </w:rPr>
            </w:pPr>
            <w:r>
              <w:rPr>
                <w:rFonts w:hint="eastAsia" w:ascii="Times New Roman"/>
              </w:rPr>
              <w:t>2</w:t>
            </w:r>
          </w:p>
        </w:tc>
        <w:tc>
          <w:tcPr>
            <w:tcW w:w="890" w:type="dxa"/>
            <w:tcBorders>
              <w:bottom w:val="single" w:color="auto" w:sz="4" w:space="0"/>
            </w:tcBorders>
            <w:vAlign w:val="center"/>
          </w:tcPr>
          <w:p w14:paraId="65CA1210">
            <w:pPr>
              <w:pStyle w:val="10"/>
              <w:widowControl w:val="0"/>
              <w:ind w:firstLine="0" w:firstLineChars="0"/>
              <w:jc w:val="center"/>
              <w:rPr>
                <w:rFonts w:ascii="Times New Roman"/>
              </w:rPr>
            </w:pPr>
            <w:r>
              <w:rPr>
                <w:rFonts w:hint="eastAsia" w:ascii="Times New Roman"/>
              </w:rPr>
              <w:t>10</w:t>
            </w:r>
            <w:r>
              <w:rPr>
                <w:rFonts w:hint="eastAsia" w:ascii="Times New Roman"/>
                <w:vertAlign w:val="superscript"/>
              </w:rPr>
              <w:t>3</w:t>
            </w:r>
          </w:p>
        </w:tc>
        <w:tc>
          <w:tcPr>
            <w:tcW w:w="899" w:type="dxa"/>
            <w:tcBorders>
              <w:bottom w:val="single" w:color="auto" w:sz="4" w:space="0"/>
            </w:tcBorders>
            <w:vAlign w:val="center"/>
          </w:tcPr>
          <w:p w14:paraId="1423DE56">
            <w:pPr>
              <w:pStyle w:val="10"/>
              <w:widowControl w:val="0"/>
              <w:ind w:firstLine="0" w:firstLineChars="0"/>
              <w:jc w:val="center"/>
              <w:rPr>
                <w:rFonts w:ascii="Times New Roman"/>
              </w:rPr>
            </w:pPr>
            <w:r>
              <w:rPr>
                <w:rFonts w:hint="eastAsia" w:ascii="Times New Roman"/>
              </w:rPr>
              <w:t>10</w:t>
            </w:r>
            <w:r>
              <w:rPr>
                <w:rFonts w:hint="eastAsia" w:ascii="Times New Roman"/>
                <w:vertAlign w:val="superscript"/>
              </w:rPr>
              <w:t>4</w:t>
            </w:r>
          </w:p>
        </w:tc>
        <w:tc>
          <w:tcPr>
            <w:tcW w:w="2184" w:type="dxa"/>
            <w:vAlign w:val="center"/>
          </w:tcPr>
          <w:p w14:paraId="3F1539A5">
            <w:pPr>
              <w:pStyle w:val="10"/>
              <w:widowControl w:val="0"/>
              <w:ind w:firstLine="0" w:firstLineChars="0"/>
              <w:jc w:val="center"/>
              <w:rPr>
                <w:rFonts w:ascii="Times New Roman"/>
              </w:rPr>
            </w:pPr>
            <w:r>
              <w:rPr>
                <w:rFonts w:ascii="Times New Roman"/>
              </w:rPr>
              <w:t>GB</w:t>
            </w:r>
            <w:r>
              <w:rPr>
                <w:rFonts w:hint="eastAsia" w:ascii="Times New Roman"/>
              </w:rPr>
              <w:t xml:space="preserve"> </w:t>
            </w:r>
            <w:r>
              <w:rPr>
                <w:rFonts w:ascii="Times New Roman"/>
              </w:rPr>
              <w:t>4789.2</w:t>
            </w:r>
          </w:p>
        </w:tc>
      </w:tr>
      <w:tr w14:paraId="02B8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tcBorders>
              <w:top w:val="single" w:color="auto" w:sz="4" w:space="0"/>
            </w:tcBorders>
            <w:vAlign w:val="center"/>
          </w:tcPr>
          <w:p w14:paraId="47561BD3">
            <w:pPr>
              <w:pStyle w:val="10"/>
              <w:widowControl w:val="0"/>
              <w:ind w:firstLine="0" w:firstLineChars="0"/>
              <w:rPr>
                <w:rFonts w:ascii="Times New Roman"/>
              </w:rPr>
            </w:pPr>
            <w:r>
              <w:rPr>
                <w:rFonts w:ascii="Times New Roman"/>
              </w:rPr>
              <w:t>大肠菌群/</w:t>
            </w:r>
            <w:r>
              <w:rPr>
                <w:rFonts w:hint="eastAsia" w:ascii="Times New Roman"/>
              </w:rPr>
              <w:t>（</w:t>
            </w:r>
            <w:r>
              <w:rPr>
                <w:rFonts w:ascii="Times New Roman"/>
              </w:rPr>
              <w:t>CFU/g</w:t>
            </w:r>
            <w:r>
              <w:rPr>
                <w:rFonts w:hint="eastAsia" w:ascii="Times New Roman"/>
              </w:rPr>
              <w:t>）</w:t>
            </w:r>
          </w:p>
        </w:tc>
        <w:tc>
          <w:tcPr>
            <w:tcW w:w="859" w:type="dxa"/>
            <w:tcBorders>
              <w:top w:val="single" w:color="auto" w:sz="4" w:space="0"/>
            </w:tcBorders>
            <w:vAlign w:val="center"/>
          </w:tcPr>
          <w:p w14:paraId="4D7652E1">
            <w:pPr>
              <w:pStyle w:val="10"/>
              <w:widowControl w:val="0"/>
              <w:ind w:firstLine="0" w:firstLineChars="0"/>
              <w:jc w:val="center"/>
              <w:rPr>
                <w:rFonts w:ascii="Times New Roman"/>
              </w:rPr>
            </w:pPr>
            <w:r>
              <w:rPr>
                <w:rFonts w:hint="eastAsia" w:ascii="Times New Roman"/>
              </w:rPr>
              <w:t>5</w:t>
            </w:r>
          </w:p>
        </w:tc>
        <w:tc>
          <w:tcPr>
            <w:tcW w:w="859" w:type="dxa"/>
            <w:tcBorders>
              <w:top w:val="single" w:color="auto" w:sz="4" w:space="0"/>
            </w:tcBorders>
            <w:vAlign w:val="center"/>
          </w:tcPr>
          <w:p w14:paraId="4F566ACA">
            <w:pPr>
              <w:pStyle w:val="10"/>
              <w:widowControl w:val="0"/>
              <w:ind w:firstLine="0" w:firstLineChars="0"/>
              <w:jc w:val="center"/>
              <w:rPr>
                <w:rFonts w:ascii="Times New Roman"/>
              </w:rPr>
            </w:pPr>
            <w:r>
              <w:rPr>
                <w:rFonts w:hint="eastAsia" w:ascii="Times New Roman"/>
              </w:rPr>
              <w:t>2</w:t>
            </w:r>
          </w:p>
        </w:tc>
        <w:tc>
          <w:tcPr>
            <w:tcW w:w="890" w:type="dxa"/>
            <w:tcBorders>
              <w:top w:val="single" w:color="auto" w:sz="4" w:space="0"/>
            </w:tcBorders>
            <w:vAlign w:val="center"/>
          </w:tcPr>
          <w:p w14:paraId="414B942F">
            <w:pPr>
              <w:pStyle w:val="10"/>
              <w:widowControl w:val="0"/>
              <w:ind w:firstLine="0" w:firstLineChars="0"/>
              <w:jc w:val="center"/>
              <w:rPr>
                <w:rFonts w:ascii="Times New Roman"/>
              </w:rPr>
            </w:pPr>
            <w:r>
              <w:rPr>
                <w:rFonts w:hint="eastAsia" w:ascii="Times New Roman"/>
              </w:rPr>
              <w:t>10</w:t>
            </w:r>
          </w:p>
        </w:tc>
        <w:tc>
          <w:tcPr>
            <w:tcW w:w="899" w:type="dxa"/>
            <w:tcBorders>
              <w:top w:val="single" w:color="auto" w:sz="4" w:space="0"/>
            </w:tcBorders>
            <w:vAlign w:val="center"/>
          </w:tcPr>
          <w:p w14:paraId="0B80AFE3">
            <w:pPr>
              <w:pStyle w:val="10"/>
              <w:widowControl w:val="0"/>
              <w:ind w:firstLine="0" w:firstLineChars="0"/>
              <w:jc w:val="center"/>
              <w:rPr>
                <w:rFonts w:ascii="Times New Roman"/>
              </w:rPr>
            </w:pPr>
            <w:r>
              <w:rPr>
                <w:rFonts w:hint="eastAsia" w:ascii="Times New Roman"/>
              </w:rPr>
              <w:t>10</w:t>
            </w:r>
            <w:r>
              <w:rPr>
                <w:rFonts w:hint="eastAsia" w:ascii="Times New Roman"/>
                <w:vertAlign w:val="superscript"/>
                <w:lang w:val="en-US" w:eastAsia="zh-CN"/>
              </w:rPr>
              <w:t>2</w:t>
            </w:r>
          </w:p>
        </w:tc>
        <w:tc>
          <w:tcPr>
            <w:tcW w:w="2184" w:type="dxa"/>
            <w:vAlign w:val="center"/>
          </w:tcPr>
          <w:p w14:paraId="62E83EA7">
            <w:pPr>
              <w:pStyle w:val="10"/>
              <w:widowControl w:val="0"/>
              <w:ind w:firstLine="0" w:firstLineChars="0"/>
              <w:jc w:val="center"/>
              <w:rPr>
                <w:rFonts w:ascii="Times New Roman"/>
              </w:rPr>
            </w:pPr>
            <w:r>
              <w:rPr>
                <w:rFonts w:ascii="Times New Roman"/>
              </w:rPr>
              <w:t>GB</w:t>
            </w:r>
            <w:r>
              <w:rPr>
                <w:rFonts w:hint="eastAsia" w:ascii="Times New Roman"/>
              </w:rPr>
              <w:t xml:space="preserve"> </w:t>
            </w:r>
            <w:r>
              <w:rPr>
                <w:rFonts w:ascii="Times New Roman"/>
              </w:rPr>
              <w:t>4789.</w:t>
            </w:r>
            <w:r>
              <w:rPr>
                <w:rFonts w:hint="eastAsia" w:ascii="Times New Roman"/>
              </w:rPr>
              <w:t>3</w:t>
            </w:r>
          </w:p>
        </w:tc>
      </w:tr>
      <w:tr w14:paraId="4832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vAlign w:val="center"/>
          </w:tcPr>
          <w:p w14:paraId="773E7B06">
            <w:pPr>
              <w:pStyle w:val="10"/>
              <w:widowControl w:val="0"/>
              <w:ind w:firstLine="0" w:firstLineChars="0"/>
              <w:rPr>
                <w:rFonts w:ascii="Times New Roman"/>
              </w:rPr>
            </w:pPr>
            <w:r>
              <w:rPr>
                <w:rFonts w:hint="eastAsia" w:ascii="Times New Roman"/>
              </w:rPr>
              <w:t>霉菌</w:t>
            </w:r>
            <w:r>
              <w:rPr>
                <w:rFonts w:ascii="Times New Roman"/>
              </w:rPr>
              <w:t>/</w:t>
            </w:r>
            <w:r>
              <w:rPr>
                <w:rFonts w:hint="eastAsia" w:ascii="Times New Roman"/>
              </w:rPr>
              <w:t>（</w:t>
            </w:r>
            <w:r>
              <w:rPr>
                <w:rFonts w:ascii="Times New Roman"/>
              </w:rPr>
              <w:t>CFU/g</w:t>
            </w:r>
            <w:r>
              <w:rPr>
                <w:rFonts w:hint="eastAsia" w:ascii="Times New Roman"/>
              </w:rPr>
              <w:t>）</w:t>
            </w:r>
            <w:r>
              <w:rPr>
                <w:rFonts w:ascii="Times New Roman"/>
              </w:rPr>
              <w:t xml:space="preserve">           </w:t>
            </w:r>
            <w:r>
              <w:rPr>
                <w:rFonts w:hint="eastAsia" w:ascii="Times New Roman"/>
              </w:rPr>
              <w:t xml:space="preserve"> </w:t>
            </w:r>
            <w:r>
              <w:rPr>
                <w:rFonts w:hint="eastAsia" w:ascii="仿宋" w:hAnsi="仿宋" w:eastAsia="仿宋" w:cs="仿宋"/>
              </w:rPr>
              <w:t>≤</w:t>
            </w:r>
          </w:p>
        </w:tc>
        <w:tc>
          <w:tcPr>
            <w:tcW w:w="3507" w:type="dxa"/>
            <w:gridSpan w:val="4"/>
            <w:vAlign w:val="center"/>
          </w:tcPr>
          <w:p w14:paraId="3302990F">
            <w:pPr>
              <w:pStyle w:val="10"/>
              <w:widowControl w:val="0"/>
              <w:ind w:firstLine="0" w:firstLineChars="0"/>
              <w:jc w:val="center"/>
              <w:rPr>
                <w:rFonts w:ascii="Times New Roman"/>
              </w:rPr>
            </w:pPr>
            <w:r>
              <w:rPr>
                <w:rFonts w:hint="eastAsia" w:ascii="Times New Roman"/>
                <w:lang w:val="en-US" w:eastAsia="zh-CN"/>
              </w:rPr>
              <w:t>5</w:t>
            </w:r>
            <w:r>
              <w:rPr>
                <w:rFonts w:hint="eastAsia" w:ascii="Times New Roman"/>
              </w:rPr>
              <w:t>0</w:t>
            </w:r>
          </w:p>
        </w:tc>
        <w:tc>
          <w:tcPr>
            <w:tcW w:w="2184" w:type="dxa"/>
            <w:vAlign w:val="center"/>
          </w:tcPr>
          <w:p w14:paraId="05B69305">
            <w:pPr>
              <w:pStyle w:val="10"/>
              <w:widowControl w:val="0"/>
              <w:ind w:firstLine="0" w:firstLineChars="0"/>
              <w:jc w:val="center"/>
              <w:rPr>
                <w:rFonts w:ascii="Times New Roman"/>
              </w:rPr>
            </w:pPr>
            <w:r>
              <w:rPr>
                <w:rFonts w:ascii="Times New Roman"/>
              </w:rPr>
              <w:t>GB</w:t>
            </w:r>
            <w:r>
              <w:rPr>
                <w:rFonts w:hint="eastAsia" w:ascii="Times New Roman"/>
              </w:rPr>
              <w:t xml:space="preserve"> </w:t>
            </w:r>
            <w:r>
              <w:rPr>
                <w:rFonts w:ascii="Times New Roman"/>
              </w:rPr>
              <w:t>4789.</w:t>
            </w:r>
            <w:r>
              <w:rPr>
                <w:rFonts w:hint="eastAsia" w:ascii="Times New Roman"/>
              </w:rPr>
              <w:t>15</w:t>
            </w:r>
          </w:p>
        </w:tc>
      </w:tr>
      <w:tr w14:paraId="1964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3" w:type="dxa"/>
            <w:gridSpan w:val="6"/>
            <w:vAlign w:val="center"/>
          </w:tcPr>
          <w:p w14:paraId="600776C6">
            <w:pPr>
              <w:pStyle w:val="10"/>
              <w:widowControl w:val="0"/>
              <w:ind w:firstLine="420"/>
              <w:rPr>
                <w:rFonts w:ascii="Times New Roman"/>
              </w:rPr>
            </w:pPr>
            <w:r>
              <w:rPr>
                <w:rFonts w:hint="eastAsia" w:ascii="Times New Roman"/>
                <w:vertAlign w:val="superscript"/>
              </w:rPr>
              <w:t>a</w:t>
            </w:r>
            <w:r>
              <w:rPr>
                <w:rFonts w:hint="eastAsia" w:ascii="Times New Roman"/>
              </w:rPr>
              <w:t xml:space="preserve">  </w:t>
            </w:r>
            <w:r>
              <w:rPr>
                <w:rFonts w:ascii="Times New Roman"/>
              </w:rPr>
              <w:t>样品的分析及处理按</w:t>
            </w:r>
            <w:r>
              <w:rPr>
                <w:rFonts w:hint="eastAsia" w:ascii="Times New Roman"/>
              </w:rPr>
              <w:t xml:space="preserve"> </w:t>
            </w:r>
            <w:r>
              <w:rPr>
                <w:rFonts w:ascii="Times New Roman"/>
              </w:rPr>
              <w:t>GB 4789.1</w:t>
            </w:r>
            <w:r>
              <w:rPr>
                <w:rFonts w:hint="eastAsia" w:ascii="Times New Roman"/>
              </w:rPr>
              <w:t xml:space="preserve"> </w:t>
            </w:r>
            <w:r>
              <w:rPr>
                <w:rFonts w:ascii="Times New Roman"/>
              </w:rPr>
              <w:t>执行。</w:t>
            </w:r>
          </w:p>
        </w:tc>
      </w:tr>
    </w:tbl>
    <w:p w14:paraId="0CEFD86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eastAsia="仿宋" w:cs="Times New Roman"/>
          <w:b/>
          <w:bCs/>
          <w:sz w:val="32"/>
          <w:lang w:val="en-US" w:eastAsia="zh-CN"/>
        </w:rPr>
      </w:pPr>
      <w:r>
        <w:rPr>
          <w:rFonts w:hint="eastAsia" w:eastAsia="仿宋" w:cs="Times New Roman"/>
          <w:b/>
          <w:bCs/>
          <w:sz w:val="32"/>
          <w:lang w:val="en-US" w:eastAsia="zh-CN"/>
        </w:rPr>
        <w:t>非罐头工艺生产的余甘子制品包括余甘子蜜饯、果干以及果酱产品，其中根据GB14884-2016《食品安全国家标准 蜜饯》的微生物限量如下所示：</w:t>
      </w:r>
    </w:p>
    <w:p w14:paraId="20DE2463">
      <w:pPr>
        <w:pStyle w:val="8"/>
        <w:numPr>
          <w:ilvl w:val="2"/>
          <w:numId w:val="0"/>
        </w:numPr>
        <w:spacing w:before="156" w:after="156"/>
        <w:jc w:val="center"/>
      </w:pPr>
      <w:r>
        <w:rPr>
          <w:rFonts w:hint="eastAsia"/>
        </w:rPr>
        <w:t xml:space="preserve">表 </w:t>
      </w:r>
      <w:r>
        <w:rPr>
          <w:rFonts w:hint="eastAsia"/>
          <w:lang w:val="en-US" w:eastAsia="zh-CN"/>
        </w:rPr>
        <w:t>4</w:t>
      </w:r>
      <w:r>
        <w:rPr>
          <w:rFonts w:hint="eastAsia"/>
        </w:rPr>
        <w:t xml:space="preserve">   </w:t>
      </w:r>
      <w:r>
        <w:rPr>
          <w:rFonts w:hint="eastAsia"/>
          <w:lang w:val="en-US" w:eastAsia="zh-CN"/>
        </w:rPr>
        <w:t>蜜饯</w:t>
      </w:r>
      <w:r>
        <w:rPr>
          <w:rFonts w:hint="eastAsia"/>
        </w:rPr>
        <w:t>微生物限量</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1"/>
        <w:gridCol w:w="823"/>
        <w:gridCol w:w="823"/>
        <w:gridCol w:w="864"/>
        <w:gridCol w:w="872"/>
        <w:gridCol w:w="2099"/>
      </w:tblGrid>
      <w:tr w14:paraId="7FC0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vAlign w:val="center"/>
          </w:tcPr>
          <w:p w14:paraId="5C5EA7E4">
            <w:pPr>
              <w:pStyle w:val="10"/>
              <w:widowControl w:val="0"/>
              <w:ind w:firstLine="0" w:firstLineChars="0"/>
              <w:jc w:val="center"/>
            </w:pPr>
            <w:r>
              <w:rPr>
                <w:rFonts w:hint="eastAsia"/>
              </w:rPr>
              <w:t>项目</w:t>
            </w:r>
          </w:p>
        </w:tc>
        <w:tc>
          <w:tcPr>
            <w:tcW w:w="3507" w:type="dxa"/>
            <w:gridSpan w:val="4"/>
            <w:vAlign w:val="center"/>
          </w:tcPr>
          <w:p w14:paraId="58C3F5DF">
            <w:pPr>
              <w:pStyle w:val="10"/>
              <w:widowControl w:val="0"/>
              <w:ind w:firstLine="0" w:firstLineChars="0"/>
              <w:jc w:val="center"/>
            </w:pPr>
            <w:r>
              <w:rPr>
                <w:rFonts w:hint="eastAsia"/>
              </w:rPr>
              <w:t>采样方案</w:t>
            </w:r>
            <w:r>
              <w:rPr>
                <w:rFonts w:hint="eastAsia"/>
                <w:vertAlign w:val="superscript"/>
              </w:rPr>
              <w:t>a</w:t>
            </w:r>
            <w:r>
              <w:rPr>
                <w:rFonts w:hint="eastAsia"/>
              </w:rPr>
              <w:t>及限量</w:t>
            </w:r>
          </w:p>
        </w:tc>
        <w:tc>
          <w:tcPr>
            <w:tcW w:w="2184" w:type="dxa"/>
            <w:vMerge w:val="restart"/>
            <w:vAlign w:val="center"/>
          </w:tcPr>
          <w:p w14:paraId="3CB35CA8">
            <w:pPr>
              <w:pStyle w:val="10"/>
              <w:widowControl w:val="0"/>
              <w:ind w:firstLine="0" w:firstLineChars="0"/>
              <w:jc w:val="center"/>
            </w:pPr>
            <w:r>
              <w:rPr>
                <w:rFonts w:hint="eastAsia"/>
              </w:rPr>
              <w:t>检验方法</w:t>
            </w:r>
          </w:p>
        </w:tc>
      </w:tr>
      <w:tr w14:paraId="137B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vAlign w:val="center"/>
          </w:tcPr>
          <w:p w14:paraId="26CD69BA">
            <w:pPr>
              <w:pStyle w:val="10"/>
              <w:widowControl w:val="0"/>
              <w:ind w:firstLine="0" w:firstLineChars="0"/>
              <w:jc w:val="center"/>
              <w:rPr>
                <w:rFonts w:ascii="Times New Roman"/>
              </w:rPr>
            </w:pPr>
          </w:p>
        </w:tc>
        <w:tc>
          <w:tcPr>
            <w:tcW w:w="859" w:type="dxa"/>
            <w:vAlign w:val="center"/>
          </w:tcPr>
          <w:p w14:paraId="60D7D9B8">
            <w:pPr>
              <w:pStyle w:val="10"/>
              <w:widowControl w:val="0"/>
              <w:ind w:firstLine="0" w:firstLineChars="0"/>
              <w:jc w:val="center"/>
              <w:rPr>
                <w:rFonts w:ascii="Times New Roman"/>
              </w:rPr>
            </w:pPr>
            <w:r>
              <w:rPr>
                <w:rFonts w:hint="eastAsia" w:ascii="Times New Roman"/>
              </w:rPr>
              <w:t>n</w:t>
            </w:r>
          </w:p>
        </w:tc>
        <w:tc>
          <w:tcPr>
            <w:tcW w:w="859" w:type="dxa"/>
            <w:vAlign w:val="center"/>
          </w:tcPr>
          <w:p w14:paraId="7E631F35">
            <w:pPr>
              <w:pStyle w:val="10"/>
              <w:widowControl w:val="0"/>
              <w:ind w:firstLine="0" w:firstLineChars="0"/>
              <w:jc w:val="center"/>
              <w:rPr>
                <w:rFonts w:ascii="Times New Roman"/>
              </w:rPr>
            </w:pPr>
            <w:r>
              <w:rPr>
                <w:rFonts w:hint="eastAsia" w:ascii="Times New Roman"/>
              </w:rPr>
              <w:t>c</w:t>
            </w:r>
          </w:p>
        </w:tc>
        <w:tc>
          <w:tcPr>
            <w:tcW w:w="890" w:type="dxa"/>
            <w:vAlign w:val="center"/>
          </w:tcPr>
          <w:p w14:paraId="06F462E7">
            <w:pPr>
              <w:pStyle w:val="10"/>
              <w:widowControl w:val="0"/>
              <w:ind w:firstLine="0" w:firstLineChars="0"/>
              <w:jc w:val="center"/>
              <w:rPr>
                <w:rFonts w:ascii="Times New Roman"/>
              </w:rPr>
            </w:pPr>
            <w:r>
              <w:rPr>
                <w:rFonts w:hint="eastAsia" w:ascii="Times New Roman"/>
              </w:rPr>
              <w:t>m</w:t>
            </w:r>
          </w:p>
        </w:tc>
        <w:tc>
          <w:tcPr>
            <w:tcW w:w="899" w:type="dxa"/>
            <w:vAlign w:val="center"/>
          </w:tcPr>
          <w:p w14:paraId="18895497">
            <w:pPr>
              <w:pStyle w:val="10"/>
              <w:widowControl w:val="0"/>
              <w:ind w:firstLine="0" w:firstLineChars="0"/>
              <w:jc w:val="center"/>
              <w:rPr>
                <w:rFonts w:ascii="Times New Roman"/>
              </w:rPr>
            </w:pPr>
            <w:r>
              <w:rPr>
                <w:rFonts w:hint="eastAsia" w:ascii="Times New Roman"/>
              </w:rPr>
              <w:t>M</w:t>
            </w:r>
          </w:p>
        </w:tc>
        <w:tc>
          <w:tcPr>
            <w:tcW w:w="2184" w:type="dxa"/>
            <w:vMerge w:val="continue"/>
            <w:vAlign w:val="center"/>
          </w:tcPr>
          <w:p w14:paraId="6604764E">
            <w:pPr>
              <w:pStyle w:val="10"/>
              <w:widowControl w:val="0"/>
              <w:ind w:firstLine="0" w:firstLineChars="0"/>
              <w:jc w:val="center"/>
              <w:rPr>
                <w:rFonts w:ascii="Times New Roman"/>
              </w:rPr>
            </w:pPr>
          </w:p>
        </w:tc>
      </w:tr>
      <w:tr w14:paraId="45AF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tcBorders>
              <w:bottom w:val="single" w:color="auto" w:sz="4" w:space="0"/>
            </w:tcBorders>
            <w:vAlign w:val="center"/>
          </w:tcPr>
          <w:p w14:paraId="716323AA">
            <w:pPr>
              <w:pStyle w:val="10"/>
              <w:widowControl w:val="0"/>
              <w:ind w:firstLine="0" w:firstLineChars="0"/>
              <w:rPr>
                <w:rFonts w:ascii="Times New Roman"/>
              </w:rPr>
            </w:pPr>
            <w:r>
              <w:rPr>
                <w:rFonts w:ascii="Times New Roman"/>
              </w:rPr>
              <w:t>菌落总数/</w:t>
            </w:r>
            <w:r>
              <w:rPr>
                <w:rFonts w:hint="eastAsia" w:ascii="Times New Roman"/>
              </w:rPr>
              <w:t>（</w:t>
            </w:r>
            <w:r>
              <w:rPr>
                <w:rFonts w:ascii="Times New Roman"/>
              </w:rPr>
              <w:t>CFU/g</w:t>
            </w:r>
            <w:r>
              <w:rPr>
                <w:rFonts w:hint="eastAsia" w:ascii="Times New Roman"/>
              </w:rPr>
              <w:t>）</w:t>
            </w:r>
          </w:p>
        </w:tc>
        <w:tc>
          <w:tcPr>
            <w:tcW w:w="859" w:type="dxa"/>
            <w:tcBorders>
              <w:bottom w:val="single" w:color="auto" w:sz="4" w:space="0"/>
            </w:tcBorders>
            <w:vAlign w:val="center"/>
          </w:tcPr>
          <w:p w14:paraId="0D8EED6A">
            <w:pPr>
              <w:pStyle w:val="10"/>
              <w:widowControl w:val="0"/>
              <w:ind w:firstLine="0" w:firstLineChars="0"/>
              <w:jc w:val="center"/>
              <w:rPr>
                <w:rFonts w:ascii="Times New Roman"/>
              </w:rPr>
            </w:pPr>
            <w:r>
              <w:rPr>
                <w:rFonts w:hint="eastAsia" w:ascii="Times New Roman"/>
              </w:rPr>
              <w:t>5</w:t>
            </w:r>
          </w:p>
        </w:tc>
        <w:tc>
          <w:tcPr>
            <w:tcW w:w="859" w:type="dxa"/>
            <w:tcBorders>
              <w:bottom w:val="single" w:color="auto" w:sz="4" w:space="0"/>
            </w:tcBorders>
            <w:vAlign w:val="center"/>
          </w:tcPr>
          <w:p w14:paraId="69185917">
            <w:pPr>
              <w:pStyle w:val="10"/>
              <w:widowControl w:val="0"/>
              <w:ind w:firstLine="0" w:firstLineChars="0"/>
              <w:jc w:val="center"/>
              <w:rPr>
                <w:rFonts w:ascii="Times New Roman"/>
              </w:rPr>
            </w:pPr>
            <w:r>
              <w:rPr>
                <w:rFonts w:hint="eastAsia" w:ascii="Times New Roman"/>
              </w:rPr>
              <w:t>2</w:t>
            </w:r>
          </w:p>
        </w:tc>
        <w:tc>
          <w:tcPr>
            <w:tcW w:w="890" w:type="dxa"/>
            <w:tcBorders>
              <w:bottom w:val="single" w:color="auto" w:sz="4" w:space="0"/>
            </w:tcBorders>
            <w:vAlign w:val="center"/>
          </w:tcPr>
          <w:p w14:paraId="77375068">
            <w:pPr>
              <w:pStyle w:val="10"/>
              <w:widowControl w:val="0"/>
              <w:ind w:firstLine="0" w:firstLineChars="0"/>
              <w:jc w:val="center"/>
              <w:rPr>
                <w:rFonts w:ascii="Times New Roman"/>
              </w:rPr>
            </w:pPr>
            <w:r>
              <w:rPr>
                <w:rFonts w:hint="eastAsia" w:ascii="Times New Roman"/>
              </w:rPr>
              <w:t>10</w:t>
            </w:r>
            <w:r>
              <w:rPr>
                <w:rFonts w:hint="eastAsia" w:ascii="Times New Roman"/>
                <w:vertAlign w:val="superscript"/>
              </w:rPr>
              <w:t>3</w:t>
            </w:r>
          </w:p>
        </w:tc>
        <w:tc>
          <w:tcPr>
            <w:tcW w:w="899" w:type="dxa"/>
            <w:tcBorders>
              <w:bottom w:val="single" w:color="auto" w:sz="4" w:space="0"/>
            </w:tcBorders>
            <w:vAlign w:val="center"/>
          </w:tcPr>
          <w:p w14:paraId="6F8BD493">
            <w:pPr>
              <w:pStyle w:val="10"/>
              <w:widowControl w:val="0"/>
              <w:ind w:firstLine="0" w:firstLineChars="0"/>
              <w:jc w:val="center"/>
              <w:rPr>
                <w:rFonts w:ascii="Times New Roman"/>
              </w:rPr>
            </w:pPr>
            <w:r>
              <w:rPr>
                <w:rFonts w:hint="eastAsia" w:ascii="Times New Roman"/>
              </w:rPr>
              <w:t>10</w:t>
            </w:r>
            <w:r>
              <w:rPr>
                <w:rFonts w:hint="eastAsia" w:ascii="Times New Roman"/>
                <w:vertAlign w:val="superscript"/>
              </w:rPr>
              <w:t>4</w:t>
            </w:r>
          </w:p>
        </w:tc>
        <w:tc>
          <w:tcPr>
            <w:tcW w:w="2184" w:type="dxa"/>
            <w:vAlign w:val="center"/>
          </w:tcPr>
          <w:p w14:paraId="312AC243">
            <w:pPr>
              <w:pStyle w:val="10"/>
              <w:widowControl w:val="0"/>
              <w:ind w:firstLine="0" w:firstLineChars="0"/>
              <w:jc w:val="center"/>
              <w:rPr>
                <w:rFonts w:ascii="Times New Roman"/>
              </w:rPr>
            </w:pPr>
            <w:r>
              <w:rPr>
                <w:rFonts w:ascii="Times New Roman"/>
              </w:rPr>
              <w:t>GB</w:t>
            </w:r>
            <w:r>
              <w:rPr>
                <w:rFonts w:hint="eastAsia" w:ascii="Times New Roman"/>
              </w:rPr>
              <w:t xml:space="preserve"> </w:t>
            </w:r>
            <w:r>
              <w:rPr>
                <w:rFonts w:ascii="Times New Roman"/>
              </w:rPr>
              <w:t>4789.2</w:t>
            </w:r>
          </w:p>
        </w:tc>
      </w:tr>
      <w:tr w14:paraId="6B34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tcBorders>
              <w:top w:val="single" w:color="auto" w:sz="4" w:space="0"/>
            </w:tcBorders>
            <w:vAlign w:val="center"/>
          </w:tcPr>
          <w:p w14:paraId="2F54AB53">
            <w:pPr>
              <w:pStyle w:val="10"/>
              <w:widowControl w:val="0"/>
              <w:ind w:firstLine="0" w:firstLineChars="0"/>
              <w:rPr>
                <w:rFonts w:ascii="Times New Roman"/>
              </w:rPr>
            </w:pPr>
            <w:r>
              <w:rPr>
                <w:rFonts w:ascii="Times New Roman"/>
              </w:rPr>
              <w:t>大肠菌群/</w:t>
            </w:r>
            <w:r>
              <w:rPr>
                <w:rFonts w:hint="eastAsia" w:ascii="Times New Roman"/>
              </w:rPr>
              <w:t>（</w:t>
            </w:r>
            <w:r>
              <w:rPr>
                <w:rFonts w:ascii="Times New Roman"/>
              </w:rPr>
              <w:t>CFU/g</w:t>
            </w:r>
            <w:r>
              <w:rPr>
                <w:rFonts w:hint="eastAsia" w:ascii="Times New Roman"/>
              </w:rPr>
              <w:t>）</w:t>
            </w:r>
          </w:p>
        </w:tc>
        <w:tc>
          <w:tcPr>
            <w:tcW w:w="859" w:type="dxa"/>
            <w:tcBorders>
              <w:top w:val="single" w:color="auto" w:sz="4" w:space="0"/>
            </w:tcBorders>
            <w:vAlign w:val="center"/>
          </w:tcPr>
          <w:p w14:paraId="019793A1">
            <w:pPr>
              <w:pStyle w:val="10"/>
              <w:widowControl w:val="0"/>
              <w:ind w:firstLine="0" w:firstLineChars="0"/>
              <w:jc w:val="center"/>
              <w:rPr>
                <w:rFonts w:ascii="Times New Roman"/>
              </w:rPr>
            </w:pPr>
            <w:r>
              <w:rPr>
                <w:rFonts w:hint="eastAsia" w:ascii="Times New Roman"/>
              </w:rPr>
              <w:t>5</w:t>
            </w:r>
          </w:p>
        </w:tc>
        <w:tc>
          <w:tcPr>
            <w:tcW w:w="859" w:type="dxa"/>
            <w:tcBorders>
              <w:top w:val="single" w:color="auto" w:sz="4" w:space="0"/>
            </w:tcBorders>
            <w:vAlign w:val="center"/>
          </w:tcPr>
          <w:p w14:paraId="3B04CE42">
            <w:pPr>
              <w:pStyle w:val="10"/>
              <w:widowControl w:val="0"/>
              <w:ind w:firstLine="0" w:firstLineChars="0"/>
              <w:jc w:val="center"/>
              <w:rPr>
                <w:rFonts w:ascii="Times New Roman"/>
              </w:rPr>
            </w:pPr>
            <w:r>
              <w:rPr>
                <w:rFonts w:hint="eastAsia" w:ascii="Times New Roman"/>
              </w:rPr>
              <w:t>2</w:t>
            </w:r>
          </w:p>
        </w:tc>
        <w:tc>
          <w:tcPr>
            <w:tcW w:w="890" w:type="dxa"/>
            <w:tcBorders>
              <w:top w:val="single" w:color="auto" w:sz="4" w:space="0"/>
            </w:tcBorders>
            <w:vAlign w:val="center"/>
          </w:tcPr>
          <w:p w14:paraId="36D3DBC1">
            <w:pPr>
              <w:pStyle w:val="10"/>
              <w:widowControl w:val="0"/>
              <w:ind w:firstLine="0" w:firstLineChars="0"/>
              <w:jc w:val="center"/>
              <w:rPr>
                <w:rFonts w:ascii="Times New Roman"/>
              </w:rPr>
            </w:pPr>
            <w:r>
              <w:rPr>
                <w:rFonts w:hint="eastAsia" w:ascii="Times New Roman"/>
              </w:rPr>
              <w:t>10</w:t>
            </w:r>
          </w:p>
        </w:tc>
        <w:tc>
          <w:tcPr>
            <w:tcW w:w="899" w:type="dxa"/>
            <w:tcBorders>
              <w:top w:val="single" w:color="auto" w:sz="4" w:space="0"/>
            </w:tcBorders>
            <w:vAlign w:val="center"/>
          </w:tcPr>
          <w:p w14:paraId="406E2874">
            <w:pPr>
              <w:pStyle w:val="10"/>
              <w:widowControl w:val="0"/>
              <w:ind w:firstLine="0" w:firstLineChars="0"/>
              <w:jc w:val="center"/>
              <w:rPr>
                <w:rFonts w:hint="eastAsia" w:ascii="Times New Roman" w:eastAsia="宋体"/>
                <w:lang w:eastAsia="zh-CN"/>
              </w:rPr>
            </w:pPr>
            <w:r>
              <w:rPr>
                <w:rFonts w:hint="eastAsia" w:ascii="Times New Roman"/>
              </w:rPr>
              <w:t>10</w:t>
            </w:r>
            <w:r>
              <w:rPr>
                <w:rFonts w:hint="eastAsia" w:ascii="Times New Roman"/>
                <w:vertAlign w:val="superscript"/>
                <w:lang w:val="en-US" w:eastAsia="zh-CN"/>
              </w:rPr>
              <w:t>2</w:t>
            </w:r>
          </w:p>
        </w:tc>
        <w:tc>
          <w:tcPr>
            <w:tcW w:w="2184" w:type="dxa"/>
            <w:vAlign w:val="center"/>
          </w:tcPr>
          <w:p w14:paraId="4B1315FE">
            <w:pPr>
              <w:pStyle w:val="10"/>
              <w:widowControl w:val="0"/>
              <w:ind w:firstLine="0" w:firstLineChars="0"/>
              <w:jc w:val="center"/>
              <w:rPr>
                <w:rFonts w:ascii="Times New Roman"/>
              </w:rPr>
            </w:pPr>
            <w:r>
              <w:rPr>
                <w:rFonts w:ascii="Times New Roman"/>
              </w:rPr>
              <w:t>GB</w:t>
            </w:r>
            <w:r>
              <w:rPr>
                <w:rFonts w:hint="eastAsia" w:ascii="Times New Roman"/>
              </w:rPr>
              <w:t xml:space="preserve"> </w:t>
            </w:r>
            <w:r>
              <w:rPr>
                <w:rFonts w:ascii="Times New Roman"/>
              </w:rPr>
              <w:t>4789.</w:t>
            </w:r>
            <w:r>
              <w:rPr>
                <w:rFonts w:hint="eastAsia" w:ascii="Times New Roman"/>
              </w:rPr>
              <w:t>3</w:t>
            </w:r>
          </w:p>
        </w:tc>
      </w:tr>
      <w:tr w14:paraId="5671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2" w:type="dxa"/>
            <w:vAlign w:val="center"/>
          </w:tcPr>
          <w:p w14:paraId="0875960E">
            <w:pPr>
              <w:pStyle w:val="10"/>
              <w:widowControl w:val="0"/>
              <w:ind w:firstLine="0" w:firstLineChars="0"/>
              <w:rPr>
                <w:rFonts w:ascii="Times New Roman"/>
              </w:rPr>
            </w:pPr>
            <w:r>
              <w:rPr>
                <w:rFonts w:hint="eastAsia" w:ascii="Times New Roman"/>
              </w:rPr>
              <w:t>霉菌</w:t>
            </w:r>
            <w:r>
              <w:rPr>
                <w:rFonts w:ascii="Times New Roman"/>
              </w:rPr>
              <w:t>/</w:t>
            </w:r>
            <w:r>
              <w:rPr>
                <w:rFonts w:hint="eastAsia" w:ascii="Times New Roman"/>
              </w:rPr>
              <w:t>（</w:t>
            </w:r>
            <w:r>
              <w:rPr>
                <w:rFonts w:ascii="Times New Roman"/>
              </w:rPr>
              <w:t>CFU/g</w:t>
            </w:r>
            <w:r>
              <w:rPr>
                <w:rFonts w:hint="eastAsia" w:ascii="Times New Roman"/>
              </w:rPr>
              <w:t>）</w:t>
            </w:r>
            <w:r>
              <w:rPr>
                <w:rFonts w:ascii="Times New Roman"/>
              </w:rPr>
              <w:t xml:space="preserve">           </w:t>
            </w:r>
            <w:r>
              <w:rPr>
                <w:rFonts w:hint="eastAsia" w:ascii="Times New Roman"/>
              </w:rPr>
              <w:t xml:space="preserve"> </w:t>
            </w:r>
            <w:r>
              <w:rPr>
                <w:rFonts w:hint="eastAsia" w:ascii="仿宋" w:hAnsi="仿宋" w:eastAsia="仿宋" w:cs="仿宋"/>
              </w:rPr>
              <w:t>≤</w:t>
            </w:r>
          </w:p>
        </w:tc>
        <w:tc>
          <w:tcPr>
            <w:tcW w:w="3507" w:type="dxa"/>
            <w:gridSpan w:val="4"/>
            <w:vAlign w:val="center"/>
          </w:tcPr>
          <w:p w14:paraId="301A36C2">
            <w:pPr>
              <w:pStyle w:val="10"/>
              <w:widowControl w:val="0"/>
              <w:ind w:firstLine="0" w:firstLineChars="0"/>
              <w:jc w:val="center"/>
              <w:rPr>
                <w:rFonts w:ascii="Times New Roman"/>
              </w:rPr>
            </w:pPr>
            <w:r>
              <w:rPr>
                <w:rFonts w:hint="eastAsia" w:ascii="Times New Roman"/>
                <w:lang w:val="en-US" w:eastAsia="zh-CN"/>
              </w:rPr>
              <w:t>5</w:t>
            </w:r>
            <w:r>
              <w:rPr>
                <w:rFonts w:hint="eastAsia" w:ascii="Times New Roman"/>
              </w:rPr>
              <w:t>0</w:t>
            </w:r>
          </w:p>
        </w:tc>
        <w:tc>
          <w:tcPr>
            <w:tcW w:w="2184" w:type="dxa"/>
            <w:vAlign w:val="center"/>
          </w:tcPr>
          <w:p w14:paraId="7FCB9FEA">
            <w:pPr>
              <w:pStyle w:val="10"/>
              <w:widowControl w:val="0"/>
              <w:ind w:firstLine="0" w:firstLineChars="0"/>
              <w:jc w:val="center"/>
              <w:rPr>
                <w:rFonts w:ascii="Times New Roman"/>
              </w:rPr>
            </w:pPr>
            <w:r>
              <w:rPr>
                <w:rFonts w:ascii="Times New Roman"/>
              </w:rPr>
              <w:t>GB</w:t>
            </w:r>
            <w:r>
              <w:rPr>
                <w:rFonts w:hint="eastAsia" w:ascii="Times New Roman"/>
              </w:rPr>
              <w:t xml:space="preserve"> </w:t>
            </w:r>
            <w:r>
              <w:rPr>
                <w:rFonts w:ascii="Times New Roman"/>
              </w:rPr>
              <w:t>4789.</w:t>
            </w:r>
            <w:r>
              <w:rPr>
                <w:rFonts w:hint="eastAsia" w:ascii="Times New Roman"/>
              </w:rPr>
              <w:t>15</w:t>
            </w:r>
          </w:p>
        </w:tc>
      </w:tr>
      <w:tr w14:paraId="23E7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3" w:type="dxa"/>
            <w:gridSpan w:val="6"/>
            <w:vAlign w:val="center"/>
          </w:tcPr>
          <w:p w14:paraId="610CA4A6">
            <w:pPr>
              <w:pStyle w:val="10"/>
              <w:widowControl w:val="0"/>
              <w:ind w:firstLine="420"/>
              <w:rPr>
                <w:rFonts w:ascii="Times New Roman"/>
              </w:rPr>
            </w:pPr>
            <w:r>
              <w:rPr>
                <w:rFonts w:hint="eastAsia" w:ascii="Times New Roman"/>
                <w:vertAlign w:val="superscript"/>
              </w:rPr>
              <w:t>a</w:t>
            </w:r>
            <w:r>
              <w:rPr>
                <w:rFonts w:hint="eastAsia" w:ascii="Times New Roman"/>
              </w:rPr>
              <w:t xml:space="preserve">  </w:t>
            </w:r>
            <w:r>
              <w:rPr>
                <w:rFonts w:ascii="Times New Roman"/>
              </w:rPr>
              <w:t>样品的分析及处理按</w:t>
            </w:r>
            <w:r>
              <w:rPr>
                <w:rFonts w:hint="eastAsia" w:ascii="Times New Roman"/>
              </w:rPr>
              <w:t xml:space="preserve"> </w:t>
            </w:r>
            <w:r>
              <w:rPr>
                <w:rFonts w:ascii="Times New Roman"/>
              </w:rPr>
              <w:t>GB 4789.1</w:t>
            </w:r>
            <w:r>
              <w:rPr>
                <w:rFonts w:hint="eastAsia" w:ascii="Times New Roman"/>
              </w:rPr>
              <w:t xml:space="preserve"> </w:t>
            </w:r>
            <w:r>
              <w:rPr>
                <w:rFonts w:ascii="Times New Roman"/>
              </w:rPr>
              <w:t>执行。</w:t>
            </w:r>
          </w:p>
        </w:tc>
      </w:tr>
    </w:tbl>
    <w:p w14:paraId="5F3D8AB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水果干制品目前没有国标明确微生物限量。GB 16325-2005 《干果食品卫生标准》中仅对葡萄干和柿饼的致病菌（沙门氏菌、志贺氏菌、金黄色葡萄球菌）的指标进行规定；GB/T 23787-2009《非油炸水果、蔬菜脆片》未明确规定微生物指标；NY/T 1041-2018《绿色食品 干果》中对致病菌（沙门氏菌、金黄色葡萄球菌以及大肠埃希氏菌O157：H7）进行规定。</w:t>
      </w:r>
    </w:p>
    <w:p w14:paraId="1BA2FB8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参考以下标准：</w:t>
      </w:r>
    </w:p>
    <w:p w14:paraId="091FD8C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vertAlign w:val="baseline"/>
          <w:lang w:val="en-US" w:eastAsia="zh-CN"/>
        </w:rPr>
      </w:pPr>
      <w:r>
        <w:rPr>
          <w:rFonts w:hint="eastAsia" w:eastAsia="仿宋" w:cs="Times New Roman"/>
          <w:b/>
          <w:bCs/>
          <w:sz w:val="32"/>
          <w:lang w:val="en-US" w:eastAsia="zh-CN"/>
        </w:rPr>
        <w:t>行业标准QB/T 2076-2021《果蔬脆》规定微生物限量：菌落总数</w:t>
      </w:r>
      <w:r>
        <w:rPr>
          <w:rFonts w:hint="eastAsia" w:eastAsia="仿宋" w:cs="Times New Roman"/>
          <w:b/>
          <w:bCs/>
          <w:sz w:val="32"/>
          <w:vertAlign w:val="baseline"/>
          <w:lang w:val="en-US" w:eastAsia="zh-CN"/>
        </w:rPr>
        <w:t>/</w:t>
      </w:r>
      <w:r>
        <w:rPr>
          <w:rFonts w:hint="eastAsia" w:eastAsia="仿宋" w:cs="Times New Roman"/>
          <w:b/>
          <w:bCs/>
          <w:sz w:val="32"/>
          <w:lang w:val="en-US" w:eastAsia="zh-CN"/>
        </w:rPr>
        <w:t>（CFU/g）：n=5、c=2、m=10</w:t>
      </w:r>
      <w:r>
        <w:rPr>
          <w:rFonts w:hint="eastAsia" w:eastAsia="仿宋" w:cs="Times New Roman"/>
          <w:b/>
          <w:bCs/>
          <w:sz w:val="32"/>
          <w:vertAlign w:val="superscript"/>
          <w:lang w:val="en-US" w:eastAsia="zh-CN"/>
        </w:rPr>
        <w:t>4</w:t>
      </w:r>
      <w:r>
        <w:rPr>
          <w:rFonts w:hint="eastAsia" w:eastAsia="仿宋" w:cs="Times New Roman"/>
          <w:b/>
          <w:bCs/>
          <w:sz w:val="32"/>
          <w:vertAlign w:val="baseline"/>
          <w:lang w:val="en-US" w:eastAsia="zh-CN"/>
        </w:rPr>
        <w:t>、M=10</w:t>
      </w:r>
      <w:r>
        <w:rPr>
          <w:rFonts w:hint="eastAsia" w:eastAsia="仿宋" w:cs="Times New Roman"/>
          <w:b/>
          <w:bCs/>
          <w:sz w:val="32"/>
          <w:vertAlign w:val="superscript"/>
          <w:lang w:val="en-US" w:eastAsia="zh-CN"/>
        </w:rPr>
        <w:t>5</w:t>
      </w:r>
      <w:r>
        <w:rPr>
          <w:rFonts w:hint="eastAsia" w:eastAsia="仿宋" w:cs="Times New Roman"/>
          <w:b/>
          <w:bCs/>
          <w:sz w:val="32"/>
          <w:vertAlign w:val="baseline"/>
          <w:lang w:val="en-US" w:eastAsia="zh-CN"/>
        </w:rPr>
        <w:t>、大肠菌群/</w:t>
      </w:r>
      <w:r>
        <w:rPr>
          <w:rFonts w:hint="eastAsia" w:eastAsia="仿宋" w:cs="Times New Roman"/>
          <w:b/>
          <w:bCs/>
          <w:sz w:val="32"/>
          <w:lang w:val="en-US" w:eastAsia="zh-CN"/>
        </w:rPr>
        <w:t>（CFU/g）：n=5、c=2、m=10</w:t>
      </w:r>
      <w:r>
        <w:rPr>
          <w:rFonts w:hint="eastAsia" w:eastAsia="仿宋" w:cs="Times New Roman"/>
          <w:b/>
          <w:bCs/>
          <w:sz w:val="32"/>
          <w:vertAlign w:val="baseline"/>
          <w:lang w:val="en-US" w:eastAsia="zh-CN"/>
        </w:rPr>
        <w:t>、M=10</w:t>
      </w:r>
      <w:r>
        <w:rPr>
          <w:rFonts w:hint="eastAsia" w:eastAsia="仿宋" w:cs="Times New Roman"/>
          <w:b/>
          <w:bCs/>
          <w:sz w:val="32"/>
          <w:vertAlign w:val="superscript"/>
          <w:lang w:val="en-US" w:eastAsia="zh-CN"/>
        </w:rPr>
        <w:t>2</w:t>
      </w:r>
      <w:r>
        <w:rPr>
          <w:rFonts w:hint="eastAsia" w:eastAsia="仿宋" w:cs="Times New Roman"/>
          <w:b/>
          <w:bCs/>
          <w:sz w:val="32"/>
          <w:vertAlign w:val="baseline"/>
          <w:lang w:val="en-US" w:eastAsia="zh-CN"/>
        </w:rPr>
        <w:t>；</w:t>
      </w:r>
    </w:p>
    <w:p w14:paraId="05982CC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NY/T 709-2003《荔枝干》规定微生物限量：菌落总数/（cfu/g）≤750、大肠菌群/（MPN/100g）≤40、霉菌（cfu/g）≤50；</w:t>
      </w:r>
    </w:p>
    <w:p w14:paraId="1D55C5A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NY/T 948-2006《香蕉脆片》规定微生物限量：菌落总数，个/g≤1 000、大肠菌群，个/100g≤30、霉菌计数，个/g≤50；</w:t>
      </w:r>
    </w:p>
    <w:p w14:paraId="637325B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NY/T 708-2016《甘薯干》规定菌落总数、大肠菌群及霉菌指标符合GB 14884的规定，即符合蜜饯的要求；</w:t>
      </w:r>
    </w:p>
    <w:p w14:paraId="3A8039B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仿宋" w:cs="Times New Roman"/>
          <w:b/>
          <w:bCs/>
          <w:sz w:val="32"/>
          <w:lang w:val="en-US" w:eastAsia="zh-CN"/>
        </w:rPr>
      </w:pPr>
      <w:r>
        <w:rPr>
          <w:rFonts w:hint="eastAsia" w:eastAsia="仿宋" w:cs="Times New Roman"/>
          <w:b/>
          <w:bCs/>
          <w:sz w:val="32"/>
          <w:lang w:val="en-US" w:eastAsia="zh-CN"/>
        </w:rPr>
        <w:t>GH/T 1326-2021《冻干水果、蔬菜》规定微生物限量：菌落总数/（cfu/g）≤100 000、大肠菌群/（MPN/g）≤3（即食类）；</w:t>
      </w:r>
    </w:p>
    <w:p w14:paraId="339C237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eastAsia="方正仿宋_GB2312" w:cs="Arial"/>
          <w:b/>
          <w:bCs/>
          <w:sz w:val="32"/>
          <w:lang w:val="en-US" w:eastAsia="zh-CN"/>
        </w:rPr>
      </w:pPr>
      <w:r>
        <w:rPr>
          <w:rFonts w:hint="eastAsia" w:eastAsia="仿宋" w:cs="Times New Roman"/>
          <w:b/>
          <w:bCs/>
          <w:sz w:val="32"/>
          <w:lang w:val="en-US" w:eastAsia="zh-CN"/>
        </w:rPr>
        <w:t>GH/T 1364-2021 《干制无花果》规定微生物限量应符合GB 29921中即食果蔬制品类的要求，GB 29921规定了预包装食品中致病菌限量，不包括菌落总数、大肠菌群和霉菌。</w:t>
      </w:r>
    </w:p>
    <w:p w14:paraId="35695A6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eastAsia="仿宋" w:cs="Times New Roman"/>
          <w:b/>
          <w:bCs/>
          <w:sz w:val="32"/>
          <w:lang w:val="en-US" w:eastAsia="zh-CN"/>
        </w:rPr>
      </w:pPr>
      <w:r>
        <w:rPr>
          <w:rFonts w:hint="eastAsia" w:eastAsia="仿宋" w:cs="Times New Roman"/>
          <w:b/>
          <w:bCs/>
          <w:sz w:val="32"/>
          <w:lang w:val="en-US" w:eastAsia="zh-CN"/>
        </w:rPr>
        <w:t>余甘子果酱微生物限量参考</w:t>
      </w:r>
      <w:r>
        <w:rPr>
          <w:rFonts w:hint="eastAsia" w:ascii="Times New Roman" w:hAnsi="Times New Roman" w:eastAsia="仿宋" w:cs="Times New Roman"/>
          <w:b/>
          <w:bCs/>
          <w:sz w:val="32"/>
          <w:lang w:val="en-US" w:eastAsia="zh-CN"/>
        </w:rPr>
        <w:t>GB/T 22474-2008</w:t>
      </w:r>
      <w:r>
        <w:rPr>
          <w:rFonts w:hint="eastAsia" w:eastAsia="仿宋" w:cs="Times New Roman"/>
          <w:b/>
          <w:bCs/>
          <w:sz w:val="32"/>
          <w:lang w:val="en-US" w:eastAsia="zh-CN"/>
        </w:rPr>
        <w:t>《</w:t>
      </w:r>
      <w:r>
        <w:rPr>
          <w:rFonts w:hint="eastAsia" w:ascii="Times New Roman" w:hAnsi="Times New Roman" w:eastAsia="仿宋" w:cs="Times New Roman"/>
          <w:b/>
          <w:bCs/>
          <w:sz w:val="32"/>
          <w:lang w:val="en-US" w:eastAsia="zh-CN"/>
        </w:rPr>
        <w:t>果酱</w:t>
      </w:r>
      <w:r>
        <w:rPr>
          <w:rFonts w:hint="eastAsia" w:eastAsia="仿宋" w:cs="Times New Roman"/>
          <w:b/>
          <w:bCs/>
          <w:sz w:val="32"/>
          <w:lang w:val="en-US" w:eastAsia="zh-CN"/>
        </w:rPr>
        <w:t>》，</w:t>
      </w:r>
      <w:r>
        <w:rPr>
          <w:rFonts w:hint="eastAsia" w:ascii="Times New Roman" w:hAnsi="Times New Roman" w:eastAsia="仿宋" w:cs="Times New Roman"/>
          <w:b/>
          <w:bCs/>
          <w:sz w:val="32"/>
          <w:lang w:val="en-US" w:eastAsia="zh-CN"/>
        </w:rPr>
        <w:t>GB/T 22474-2008</w:t>
      </w:r>
      <w:r>
        <w:rPr>
          <w:rFonts w:hint="eastAsia" w:eastAsia="仿宋" w:cs="Times New Roman"/>
          <w:b/>
          <w:bCs/>
          <w:sz w:val="32"/>
          <w:lang w:val="en-US" w:eastAsia="zh-CN"/>
        </w:rPr>
        <w:t>规定微生物限量：酸乳类果酱菌落总数/（cfu/g）≤10 000，</w:t>
      </w:r>
      <w:r>
        <w:rPr>
          <w:rFonts w:hint="eastAsia" w:eastAsia="仿宋" w:cs="Times New Roman"/>
          <w:b/>
          <w:bCs/>
          <w:sz w:val="32"/>
          <w:vertAlign w:val="baseline"/>
          <w:lang w:val="en-US" w:eastAsia="zh-CN"/>
        </w:rPr>
        <w:t>大肠菌群/</w:t>
      </w:r>
      <w:r>
        <w:rPr>
          <w:rFonts w:hint="eastAsia" w:eastAsia="仿宋" w:cs="Times New Roman"/>
          <w:b/>
          <w:bCs/>
          <w:sz w:val="32"/>
          <w:lang w:val="en-US" w:eastAsia="zh-CN"/>
        </w:rPr>
        <w:t>（CFU/g）：n=5、c=2、m=1</w:t>
      </w:r>
      <w:r>
        <w:rPr>
          <w:rFonts w:hint="eastAsia" w:eastAsia="仿宋" w:cs="Times New Roman"/>
          <w:b/>
          <w:bCs/>
          <w:sz w:val="32"/>
          <w:vertAlign w:val="baseline"/>
          <w:lang w:val="en-US" w:eastAsia="zh-CN"/>
        </w:rPr>
        <w:t>、M=5，霉菌/</w:t>
      </w:r>
      <w:r>
        <w:rPr>
          <w:rFonts w:hint="eastAsia" w:eastAsia="仿宋" w:cs="Times New Roman"/>
          <w:b/>
          <w:bCs/>
          <w:sz w:val="32"/>
          <w:lang w:val="en-US" w:eastAsia="zh-CN"/>
        </w:rPr>
        <w:t>（cfu/g）≤30；冷冻饮品类用果酱菌落总数</w:t>
      </w:r>
      <w:r>
        <w:rPr>
          <w:rFonts w:hint="eastAsia" w:eastAsia="仿宋" w:cs="Times New Roman"/>
          <w:b/>
          <w:bCs/>
          <w:sz w:val="32"/>
          <w:vertAlign w:val="baseline"/>
          <w:lang w:val="en-US" w:eastAsia="zh-CN"/>
        </w:rPr>
        <w:t>/</w:t>
      </w:r>
      <w:r>
        <w:rPr>
          <w:rFonts w:hint="eastAsia" w:eastAsia="仿宋" w:cs="Times New Roman"/>
          <w:b/>
          <w:bCs/>
          <w:sz w:val="32"/>
          <w:lang w:val="en-US" w:eastAsia="zh-CN"/>
        </w:rPr>
        <w:t>（CFU/g）：n=5、c=2、m=2.5</w:t>
      </w:r>
      <w:r>
        <w:rPr>
          <w:rFonts w:hint="default" w:ascii="Arial" w:hAnsi="Arial" w:eastAsia="仿宋" w:cs="Arial"/>
          <w:b/>
          <w:bCs/>
          <w:sz w:val="32"/>
          <w:lang w:val="en-US" w:eastAsia="zh-CN"/>
        </w:rPr>
        <w:t>×</w:t>
      </w:r>
      <w:r>
        <w:rPr>
          <w:rFonts w:hint="eastAsia" w:eastAsia="仿宋" w:cs="Times New Roman"/>
          <w:b/>
          <w:bCs/>
          <w:sz w:val="32"/>
          <w:lang w:val="en-US" w:eastAsia="zh-CN"/>
        </w:rPr>
        <w:t>10</w:t>
      </w:r>
      <w:r>
        <w:rPr>
          <w:rFonts w:hint="eastAsia" w:eastAsia="仿宋" w:cs="Times New Roman"/>
          <w:b/>
          <w:bCs/>
          <w:sz w:val="32"/>
          <w:vertAlign w:val="superscript"/>
          <w:lang w:val="en-US" w:eastAsia="zh-CN"/>
        </w:rPr>
        <w:t>4</w:t>
      </w:r>
      <w:r>
        <w:rPr>
          <w:rFonts w:hint="eastAsia" w:eastAsia="仿宋" w:cs="Times New Roman"/>
          <w:b/>
          <w:bCs/>
          <w:sz w:val="32"/>
          <w:vertAlign w:val="baseline"/>
          <w:lang w:val="en-US" w:eastAsia="zh-CN"/>
        </w:rPr>
        <w:t>、M=10</w:t>
      </w:r>
      <w:r>
        <w:rPr>
          <w:rFonts w:hint="eastAsia" w:eastAsia="仿宋" w:cs="Times New Roman"/>
          <w:b/>
          <w:bCs/>
          <w:sz w:val="32"/>
          <w:vertAlign w:val="superscript"/>
          <w:lang w:val="en-US" w:eastAsia="zh-CN"/>
        </w:rPr>
        <w:t>5</w:t>
      </w:r>
      <w:r>
        <w:rPr>
          <w:rFonts w:hint="eastAsia" w:eastAsia="仿宋" w:cs="Times New Roman"/>
          <w:b/>
          <w:bCs/>
          <w:sz w:val="32"/>
          <w:vertAlign w:val="baseline"/>
          <w:lang w:val="en-US" w:eastAsia="zh-CN"/>
        </w:rPr>
        <w:t>、大肠菌群/</w:t>
      </w:r>
      <w:r>
        <w:rPr>
          <w:rFonts w:hint="eastAsia" w:eastAsia="仿宋" w:cs="Times New Roman"/>
          <w:b/>
          <w:bCs/>
          <w:sz w:val="32"/>
          <w:lang w:val="en-US" w:eastAsia="zh-CN"/>
        </w:rPr>
        <w:t>（CFU/g）：n=5、c=2、m=10</w:t>
      </w:r>
      <w:r>
        <w:rPr>
          <w:rFonts w:hint="eastAsia" w:eastAsia="仿宋" w:cs="Times New Roman"/>
          <w:b/>
          <w:bCs/>
          <w:sz w:val="32"/>
          <w:vertAlign w:val="baseline"/>
          <w:lang w:val="en-US" w:eastAsia="zh-CN"/>
        </w:rPr>
        <w:t>、M=10</w:t>
      </w:r>
      <w:r>
        <w:rPr>
          <w:rFonts w:hint="eastAsia" w:eastAsia="仿宋" w:cs="Times New Roman"/>
          <w:b/>
          <w:bCs/>
          <w:sz w:val="32"/>
          <w:vertAlign w:val="superscript"/>
          <w:lang w:val="en-US" w:eastAsia="zh-CN"/>
        </w:rPr>
        <w:t>2</w:t>
      </w:r>
      <w:r>
        <w:rPr>
          <w:rFonts w:hint="eastAsia" w:eastAsia="仿宋" w:cs="Times New Roman"/>
          <w:b/>
          <w:bCs/>
          <w:sz w:val="32"/>
          <w:vertAlign w:val="baseline"/>
          <w:lang w:val="en-US" w:eastAsia="zh-CN"/>
        </w:rPr>
        <w:t>，霉菌计数/</w:t>
      </w:r>
      <w:r>
        <w:rPr>
          <w:rFonts w:hint="eastAsia" w:eastAsia="仿宋" w:cs="Times New Roman"/>
          <w:b/>
          <w:bCs/>
          <w:sz w:val="32"/>
          <w:lang w:val="en-US" w:eastAsia="zh-CN"/>
        </w:rPr>
        <w:t>（cfu/g）≤150；烘焙类用果酱以及其他类型的果酱菌落总数/（cfu/g）≤1500，大肠菌群/（MPN/100g）≤30，</w:t>
      </w:r>
      <w:r>
        <w:rPr>
          <w:rFonts w:hint="eastAsia" w:eastAsia="仿宋" w:cs="Times New Roman"/>
          <w:b/>
          <w:bCs/>
          <w:sz w:val="32"/>
          <w:vertAlign w:val="baseline"/>
          <w:lang w:val="en-US" w:eastAsia="zh-CN"/>
        </w:rPr>
        <w:t>霉菌计数/</w:t>
      </w:r>
      <w:r>
        <w:rPr>
          <w:rFonts w:hint="eastAsia" w:eastAsia="仿宋" w:cs="Times New Roman"/>
          <w:b/>
          <w:bCs/>
          <w:sz w:val="32"/>
          <w:lang w:val="en-US" w:eastAsia="zh-CN"/>
        </w:rPr>
        <w:t>（cfu/g）≤100。</w:t>
      </w:r>
    </w:p>
    <w:p w14:paraId="74388D3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eastAsia="方正仿宋_GB2312" w:cs="方正仿宋_GB2312"/>
          <w:b/>
          <w:bCs/>
          <w:sz w:val="32"/>
          <w:szCs w:val="32"/>
          <w:lang w:val="en-US" w:eastAsia="zh-CN"/>
        </w:rPr>
      </w:pPr>
      <w:r>
        <w:rPr>
          <w:rFonts w:hint="eastAsia" w:eastAsia="方正仿宋_GB2312" w:cs="方正仿宋_GB2312"/>
          <w:b/>
          <w:bCs/>
          <w:sz w:val="32"/>
          <w:szCs w:val="32"/>
          <w:lang w:val="en-US" w:eastAsia="zh-CN"/>
        </w:rPr>
        <w:t>综合参考以上标准并结合余甘子制品取样检测数据，设置4.6.3 微生物限量指标。检测数据见第三部分内容。</w:t>
      </w:r>
    </w:p>
    <w:p w14:paraId="1E5E859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4.7 食品添加剂</w:t>
      </w:r>
    </w:p>
    <w:p w14:paraId="2B36F5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食品添加剂的使用应符合 GB 2760 的规定。</w:t>
      </w:r>
    </w:p>
    <w:p w14:paraId="766B6F7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4.8 标志、标签</w:t>
      </w:r>
    </w:p>
    <w:p w14:paraId="12A0128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4.8.1 标志</w:t>
      </w:r>
    </w:p>
    <w:p w14:paraId="21F4A1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包装储运图示标志应符合 GB/T 191 的规定。</w:t>
      </w:r>
    </w:p>
    <w:p w14:paraId="40F156D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4.8.2 标签</w:t>
      </w:r>
    </w:p>
    <w:p w14:paraId="059CAC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rPr>
      </w:pPr>
      <w:r>
        <w:rPr>
          <w:rFonts w:hint="eastAsia" w:eastAsia="方正仿宋_GB2312" w:cs="方正仿宋_GB2312"/>
          <w:sz w:val="32"/>
          <w:szCs w:val="32"/>
          <w:lang w:val="en-US" w:eastAsia="zh-CN"/>
        </w:rPr>
        <w:t>标签上的字迹应准确、完整、清晰，预包装产品标签应符合 GB 7718、GB 28050 的要求。</w:t>
      </w:r>
    </w:p>
    <w:p w14:paraId="60960CE7">
      <w:pPr>
        <w:spacing w:line="560" w:lineRule="exact"/>
        <w:ind w:firstLine="640" w:firstLineChars="200"/>
        <w:outlineLvl w:val="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三、主要试验或验证的分析、综述报告，技术经济论证，预期的经济效果</w:t>
      </w:r>
    </w:p>
    <w:p w14:paraId="05026642">
      <w:pPr>
        <w:spacing w:line="560" w:lineRule="exact"/>
        <w:ind w:firstLine="643" w:firstLineChars="200"/>
        <w:outlineLvl w:val="1"/>
        <w:rPr>
          <w:rFonts w:hint="eastAsia" w:eastAsia="方正仿宋_GB2312" w:cs="方正仿宋_GB2312"/>
          <w:sz w:val="32"/>
          <w:szCs w:val="32"/>
          <w:lang w:val="en-US" w:eastAsia="zh-CN"/>
        </w:rPr>
      </w:pPr>
      <w:r>
        <w:rPr>
          <w:rFonts w:hint="eastAsia" w:eastAsia="方正仿宋_GB2312" w:cs="方正仿宋_GB2312"/>
          <w:b/>
          <w:bCs/>
          <w:sz w:val="32"/>
          <w:szCs w:val="32"/>
          <w:lang w:val="en-US" w:eastAsia="zh-CN"/>
        </w:rPr>
        <w:t>（一）主要试验或验证的分析、综述报告</w:t>
      </w:r>
    </w:p>
    <w:p w14:paraId="535B69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为了验证本标准中理化指标及微生物限量设置的合理性，标准编制小组通过采集新鲜余甘子进行干燥并对水分及总酸进行检测、采集广东省、福建省以及云南省生产的余甘子干以及余甘子蜜饯等产品进行理化及微生物指标的检测。</w:t>
      </w:r>
    </w:p>
    <w:p w14:paraId="5EE7554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lang w:val="en-US" w:eastAsia="zh-CN"/>
        </w:rPr>
      </w:pPr>
      <w:r>
        <w:rPr>
          <w:rFonts w:hint="eastAsia" w:eastAsia="方正仿宋_GB2312" w:cs="方正仿宋_GB2312"/>
          <w:sz w:val="32"/>
          <w:szCs w:val="32"/>
          <w:lang w:val="en-US" w:eastAsia="zh-CN"/>
        </w:rPr>
        <w:t>表5 样品信息</w:t>
      </w:r>
    </w:p>
    <w:tbl>
      <w:tblPr>
        <w:tblStyle w:val="4"/>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880"/>
        <w:gridCol w:w="1699"/>
        <w:gridCol w:w="2847"/>
        <w:gridCol w:w="1294"/>
      </w:tblGrid>
      <w:tr w14:paraId="4DB3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tcPr>
          <w:p w14:paraId="207062F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样品号</w:t>
            </w:r>
          </w:p>
        </w:tc>
        <w:tc>
          <w:tcPr>
            <w:tcW w:w="1880" w:type="dxa"/>
          </w:tcPr>
          <w:p w14:paraId="761DA7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样品名称</w:t>
            </w:r>
          </w:p>
        </w:tc>
        <w:tc>
          <w:tcPr>
            <w:tcW w:w="1699" w:type="dxa"/>
          </w:tcPr>
          <w:p w14:paraId="624076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图片</w:t>
            </w:r>
          </w:p>
        </w:tc>
        <w:tc>
          <w:tcPr>
            <w:tcW w:w="2847" w:type="dxa"/>
          </w:tcPr>
          <w:p w14:paraId="1196ED7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样品描述</w:t>
            </w:r>
          </w:p>
        </w:tc>
        <w:tc>
          <w:tcPr>
            <w:tcW w:w="1294" w:type="dxa"/>
          </w:tcPr>
          <w:p w14:paraId="0770D4C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来源</w:t>
            </w:r>
          </w:p>
        </w:tc>
      </w:tr>
      <w:tr w14:paraId="7F8C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1237" w:type="dxa"/>
            <w:vAlign w:val="center"/>
          </w:tcPr>
          <w:p w14:paraId="3B5408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w:t>
            </w:r>
          </w:p>
        </w:tc>
        <w:tc>
          <w:tcPr>
            <w:tcW w:w="1880" w:type="dxa"/>
            <w:vAlign w:val="center"/>
          </w:tcPr>
          <w:p w14:paraId="0DA8FC3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余甘子果干</w:t>
            </w:r>
          </w:p>
        </w:tc>
        <w:tc>
          <w:tcPr>
            <w:tcW w:w="1699" w:type="dxa"/>
          </w:tcPr>
          <w:p w14:paraId="594106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sz w:val="18"/>
                <w:szCs w:val="21"/>
              </w:rPr>
              <w:drawing>
                <wp:anchor distT="0" distB="0" distL="114300" distR="114300" simplePos="0" relativeHeight="251659264" behindDoc="0" locked="0" layoutInCell="1" allowOverlap="1">
                  <wp:simplePos x="0" y="0"/>
                  <wp:positionH relativeFrom="column">
                    <wp:posOffset>-17780</wp:posOffset>
                  </wp:positionH>
                  <wp:positionV relativeFrom="paragraph">
                    <wp:posOffset>59055</wp:posOffset>
                  </wp:positionV>
                  <wp:extent cx="791210" cy="894080"/>
                  <wp:effectExtent l="0" t="0" r="1270" b="5080"/>
                  <wp:wrapNone/>
                  <wp:docPr id="14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图片 11"/>
                          <pic:cNvPicPr>
                            <a:picLocks noChangeAspect="1"/>
                          </pic:cNvPicPr>
                        </pic:nvPicPr>
                        <pic:blipFill>
                          <a:blip r:embed="rId4"/>
                          <a:stretch>
                            <a:fillRect/>
                          </a:stretch>
                        </pic:blipFill>
                        <pic:spPr>
                          <a:xfrm>
                            <a:off x="0" y="0"/>
                            <a:ext cx="791210" cy="894080"/>
                          </a:xfrm>
                          <a:prstGeom prst="rect">
                            <a:avLst/>
                          </a:prstGeom>
                          <a:noFill/>
                          <a:ln w="9525">
                            <a:noFill/>
                          </a:ln>
                        </pic:spPr>
                      </pic:pic>
                    </a:graphicData>
                  </a:graphic>
                </wp:anchor>
              </w:drawing>
            </w:r>
          </w:p>
        </w:tc>
        <w:tc>
          <w:tcPr>
            <w:tcW w:w="2847" w:type="dxa"/>
          </w:tcPr>
          <w:p w14:paraId="3CD89A8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生产工艺：热泵干燥</w:t>
            </w:r>
          </w:p>
        </w:tc>
        <w:tc>
          <w:tcPr>
            <w:tcW w:w="1294" w:type="dxa"/>
          </w:tcPr>
          <w:p w14:paraId="4C4ABCB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采摘地：广东廉江</w:t>
            </w:r>
          </w:p>
        </w:tc>
      </w:tr>
      <w:tr w14:paraId="683F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237" w:type="dxa"/>
            <w:vAlign w:val="center"/>
          </w:tcPr>
          <w:p w14:paraId="278148D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w:t>
            </w:r>
          </w:p>
        </w:tc>
        <w:tc>
          <w:tcPr>
            <w:tcW w:w="1880" w:type="dxa"/>
            <w:vAlign w:val="center"/>
          </w:tcPr>
          <w:p w14:paraId="6E45B6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余甘子果干</w:t>
            </w:r>
          </w:p>
        </w:tc>
        <w:tc>
          <w:tcPr>
            <w:tcW w:w="1699" w:type="dxa"/>
          </w:tcPr>
          <w:p w14:paraId="7E4A2C0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drawing>
                <wp:anchor distT="0" distB="0" distL="114300" distR="114300" simplePos="0" relativeHeight="251672576" behindDoc="0" locked="0" layoutInCell="1" allowOverlap="1">
                  <wp:simplePos x="0" y="0"/>
                  <wp:positionH relativeFrom="column">
                    <wp:posOffset>-6985</wp:posOffset>
                  </wp:positionH>
                  <wp:positionV relativeFrom="paragraph">
                    <wp:posOffset>23495</wp:posOffset>
                  </wp:positionV>
                  <wp:extent cx="815340" cy="880745"/>
                  <wp:effectExtent l="0" t="0" r="7620" b="317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815340" cy="880745"/>
                          </a:xfrm>
                          <a:prstGeom prst="rect">
                            <a:avLst/>
                          </a:prstGeom>
                          <a:noFill/>
                          <a:ln>
                            <a:noFill/>
                          </a:ln>
                        </pic:spPr>
                      </pic:pic>
                    </a:graphicData>
                  </a:graphic>
                </wp:anchor>
              </w:drawing>
            </w:r>
          </w:p>
        </w:tc>
        <w:tc>
          <w:tcPr>
            <w:tcW w:w="2847" w:type="dxa"/>
          </w:tcPr>
          <w:p w14:paraId="75324BA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生产工艺：真空冷冻干燥</w:t>
            </w:r>
          </w:p>
        </w:tc>
        <w:tc>
          <w:tcPr>
            <w:tcW w:w="1294" w:type="dxa"/>
          </w:tcPr>
          <w:p w14:paraId="1D4BBB6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采摘地：潮州普宁</w:t>
            </w:r>
          </w:p>
        </w:tc>
      </w:tr>
      <w:tr w14:paraId="5908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237" w:type="dxa"/>
            <w:vAlign w:val="center"/>
          </w:tcPr>
          <w:p w14:paraId="491FD9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3</w:t>
            </w:r>
          </w:p>
        </w:tc>
        <w:tc>
          <w:tcPr>
            <w:tcW w:w="1880" w:type="dxa"/>
            <w:vAlign w:val="center"/>
          </w:tcPr>
          <w:p w14:paraId="13CAD5F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余甘子果干</w:t>
            </w:r>
          </w:p>
        </w:tc>
        <w:tc>
          <w:tcPr>
            <w:tcW w:w="1699" w:type="dxa"/>
          </w:tcPr>
          <w:p w14:paraId="119E11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drawing>
                <wp:anchor distT="0" distB="0" distL="114300" distR="114300" simplePos="0" relativeHeight="251673600" behindDoc="0" locked="0" layoutInCell="1" allowOverlap="1">
                  <wp:simplePos x="0" y="0"/>
                  <wp:positionH relativeFrom="column">
                    <wp:posOffset>13335</wp:posOffset>
                  </wp:positionH>
                  <wp:positionV relativeFrom="paragraph">
                    <wp:posOffset>46355</wp:posOffset>
                  </wp:positionV>
                  <wp:extent cx="889000" cy="866775"/>
                  <wp:effectExtent l="0" t="0" r="10160" b="190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889000" cy="866775"/>
                          </a:xfrm>
                          <a:prstGeom prst="rect">
                            <a:avLst/>
                          </a:prstGeom>
                          <a:noFill/>
                          <a:ln>
                            <a:noFill/>
                          </a:ln>
                        </pic:spPr>
                      </pic:pic>
                    </a:graphicData>
                  </a:graphic>
                </wp:anchor>
              </w:drawing>
            </w:r>
          </w:p>
        </w:tc>
        <w:tc>
          <w:tcPr>
            <w:tcW w:w="2847" w:type="dxa"/>
          </w:tcPr>
          <w:p w14:paraId="30F0764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生产工艺：热泵干燥</w:t>
            </w:r>
          </w:p>
        </w:tc>
        <w:tc>
          <w:tcPr>
            <w:tcW w:w="1294" w:type="dxa"/>
          </w:tcPr>
          <w:p w14:paraId="2CB1E21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采摘地：潮州普宁</w:t>
            </w:r>
          </w:p>
        </w:tc>
      </w:tr>
      <w:tr w14:paraId="6320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1237" w:type="dxa"/>
            <w:vAlign w:val="center"/>
          </w:tcPr>
          <w:p w14:paraId="4A7D48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4</w:t>
            </w:r>
          </w:p>
        </w:tc>
        <w:tc>
          <w:tcPr>
            <w:tcW w:w="1880" w:type="dxa"/>
            <w:vAlign w:val="center"/>
          </w:tcPr>
          <w:p w14:paraId="512806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油柑果脯</w:t>
            </w:r>
          </w:p>
        </w:tc>
        <w:tc>
          <w:tcPr>
            <w:tcW w:w="1699" w:type="dxa"/>
          </w:tcPr>
          <w:p w14:paraId="1CDA9E1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sz w:val="18"/>
                <w:szCs w:val="21"/>
              </w:rPr>
              <w:drawing>
                <wp:anchor distT="0" distB="0" distL="114300" distR="114300" simplePos="0" relativeHeight="251660288" behindDoc="0" locked="0" layoutInCell="1" allowOverlap="1">
                  <wp:simplePos x="0" y="0"/>
                  <wp:positionH relativeFrom="column">
                    <wp:posOffset>-26035</wp:posOffset>
                  </wp:positionH>
                  <wp:positionV relativeFrom="paragraph">
                    <wp:posOffset>26670</wp:posOffset>
                  </wp:positionV>
                  <wp:extent cx="426085" cy="901065"/>
                  <wp:effectExtent l="0" t="0" r="635" b="13335"/>
                  <wp:wrapNone/>
                  <wp:docPr id="14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图片 3"/>
                          <pic:cNvPicPr>
                            <a:picLocks noChangeAspect="1"/>
                          </pic:cNvPicPr>
                        </pic:nvPicPr>
                        <pic:blipFill>
                          <a:blip r:embed="rId7"/>
                          <a:stretch>
                            <a:fillRect/>
                          </a:stretch>
                        </pic:blipFill>
                        <pic:spPr>
                          <a:xfrm>
                            <a:off x="0" y="0"/>
                            <a:ext cx="426085" cy="901065"/>
                          </a:xfrm>
                          <a:prstGeom prst="rect">
                            <a:avLst/>
                          </a:prstGeom>
                          <a:noFill/>
                          <a:ln w="9525">
                            <a:noFill/>
                          </a:ln>
                        </pic:spPr>
                      </pic:pic>
                    </a:graphicData>
                  </a:graphic>
                </wp:anchor>
              </w:drawing>
            </w:r>
            <w:r>
              <w:rPr>
                <w:sz w:val="18"/>
                <w:szCs w:val="21"/>
              </w:rPr>
              <w:drawing>
                <wp:anchor distT="0" distB="0" distL="114300" distR="114300" simplePos="0" relativeHeight="251661312" behindDoc="0" locked="0" layoutInCell="1" allowOverlap="1">
                  <wp:simplePos x="0" y="0"/>
                  <wp:positionH relativeFrom="column">
                    <wp:posOffset>520065</wp:posOffset>
                  </wp:positionH>
                  <wp:positionV relativeFrom="paragraph">
                    <wp:posOffset>27305</wp:posOffset>
                  </wp:positionV>
                  <wp:extent cx="398145" cy="885825"/>
                  <wp:effectExtent l="0" t="0" r="13335" b="13335"/>
                  <wp:wrapNone/>
                  <wp:docPr id="14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图片 4"/>
                          <pic:cNvPicPr>
                            <a:picLocks noChangeAspect="1"/>
                          </pic:cNvPicPr>
                        </pic:nvPicPr>
                        <pic:blipFill>
                          <a:blip r:embed="rId8"/>
                          <a:stretch>
                            <a:fillRect/>
                          </a:stretch>
                        </pic:blipFill>
                        <pic:spPr>
                          <a:xfrm>
                            <a:off x="0" y="0"/>
                            <a:ext cx="398145" cy="885825"/>
                          </a:xfrm>
                          <a:prstGeom prst="rect">
                            <a:avLst/>
                          </a:prstGeom>
                          <a:noFill/>
                          <a:ln w="9525">
                            <a:noFill/>
                          </a:ln>
                        </pic:spPr>
                      </pic:pic>
                    </a:graphicData>
                  </a:graphic>
                </wp:anchor>
              </w:drawing>
            </w:r>
          </w:p>
        </w:tc>
        <w:tc>
          <w:tcPr>
            <w:tcW w:w="2847" w:type="dxa"/>
          </w:tcPr>
          <w:p w14:paraId="2A0C232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食用农产品，生产工艺：晒干，归类为余甘子果干</w:t>
            </w:r>
          </w:p>
        </w:tc>
        <w:tc>
          <w:tcPr>
            <w:tcW w:w="1294" w:type="dxa"/>
          </w:tcPr>
          <w:p w14:paraId="7603D15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产地：汕头</w:t>
            </w:r>
          </w:p>
        </w:tc>
      </w:tr>
      <w:tr w14:paraId="6DAB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1237" w:type="dxa"/>
            <w:vAlign w:val="center"/>
          </w:tcPr>
          <w:p w14:paraId="710717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5</w:t>
            </w:r>
          </w:p>
        </w:tc>
        <w:tc>
          <w:tcPr>
            <w:tcW w:w="1880" w:type="dxa"/>
            <w:vAlign w:val="center"/>
          </w:tcPr>
          <w:p w14:paraId="5B000A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油甘茶</w:t>
            </w:r>
          </w:p>
        </w:tc>
        <w:tc>
          <w:tcPr>
            <w:tcW w:w="1699" w:type="dxa"/>
          </w:tcPr>
          <w:p w14:paraId="7F54227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drawing>
                <wp:anchor distT="0" distB="0" distL="114300" distR="114300" simplePos="0" relativeHeight="251663360" behindDoc="0" locked="0" layoutInCell="1" allowOverlap="1">
                  <wp:simplePos x="0" y="0"/>
                  <wp:positionH relativeFrom="column">
                    <wp:posOffset>528320</wp:posOffset>
                  </wp:positionH>
                  <wp:positionV relativeFrom="paragraph">
                    <wp:posOffset>19050</wp:posOffset>
                  </wp:positionV>
                  <wp:extent cx="387350" cy="831215"/>
                  <wp:effectExtent l="0" t="0" r="8890" b="6985"/>
                  <wp:wrapNone/>
                  <wp:docPr id="14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图片 6"/>
                          <pic:cNvPicPr>
                            <a:picLocks noChangeAspect="1"/>
                          </pic:cNvPicPr>
                        </pic:nvPicPr>
                        <pic:blipFill>
                          <a:blip r:embed="rId9"/>
                          <a:stretch>
                            <a:fillRect/>
                          </a:stretch>
                        </pic:blipFill>
                        <pic:spPr>
                          <a:xfrm>
                            <a:off x="0" y="0"/>
                            <a:ext cx="387350" cy="831215"/>
                          </a:xfrm>
                          <a:prstGeom prst="rect">
                            <a:avLst/>
                          </a:prstGeom>
                          <a:noFill/>
                          <a:ln w="9525">
                            <a:noFill/>
                          </a:ln>
                        </pic:spPr>
                      </pic:pic>
                    </a:graphicData>
                  </a:graphic>
                </wp:anchor>
              </w:drawing>
            </w:r>
            <w:r>
              <w:drawing>
                <wp:anchor distT="0" distB="0" distL="114300" distR="114300" simplePos="0" relativeHeight="251662336" behindDoc="0" locked="0" layoutInCell="1" allowOverlap="1">
                  <wp:simplePos x="0" y="0"/>
                  <wp:positionH relativeFrom="column">
                    <wp:posOffset>-19050</wp:posOffset>
                  </wp:positionH>
                  <wp:positionV relativeFrom="paragraph">
                    <wp:posOffset>10795</wp:posOffset>
                  </wp:positionV>
                  <wp:extent cx="422910" cy="836295"/>
                  <wp:effectExtent l="0" t="0" r="3810" b="1905"/>
                  <wp:wrapNone/>
                  <wp:docPr id="14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图片 5"/>
                          <pic:cNvPicPr>
                            <a:picLocks noChangeAspect="1"/>
                          </pic:cNvPicPr>
                        </pic:nvPicPr>
                        <pic:blipFill>
                          <a:blip r:embed="rId10"/>
                          <a:stretch>
                            <a:fillRect/>
                          </a:stretch>
                        </pic:blipFill>
                        <pic:spPr>
                          <a:xfrm>
                            <a:off x="0" y="0"/>
                            <a:ext cx="422910" cy="836295"/>
                          </a:xfrm>
                          <a:prstGeom prst="rect">
                            <a:avLst/>
                          </a:prstGeom>
                          <a:noFill/>
                          <a:ln w="9525">
                            <a:noFill/>
                          </a:ln>
                        </pic:spPr>
                      </pic:pic>
                    </a:graphicData>
                  </a:graphic>
                </wp:anchor>
              </w:drawing>
            </w:r>
          </w:p>
        </w:tc>
        <w:tc>
          <w:tcPr>
            <w:tcW w:w="2847" w:type="dxa"/>
          </w:tcPr>
          <w:p w14:paraId="5E3315A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食用农产品，生产工艺：晒干，归类为余甘子果干</w:t>
            </w:r>
          </w:p>
        </w:tc>
        <w:tc>
          <w:tcPr>
            <w:tcW w:w="1294" w:type="dxa"/>
          </w:tcPr>
          <w:p w14:paraId="1326E13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产地：汕头</w:t>
            </w:r>
          </w:p>
        </w:tc>
      </w:tr>
      <w:tr w14:paraId="3D1D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7" w:type="dxa"/>
            <w:vAlign w:val="center"/>
          </w:tcPr>
          <w:p w14:paraId="5F77136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6</w:t>
            </w:r>
          </w:p>
        </w:tc>
        <w:tc>
          <w:tcPr>
            <w:tcW w:w="1880" w:type="dxa"/>
            <w:vAlign w:val="center"/>
          </w:tcPr>
          <w:p w14:paraId="665FF5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冻干油柑茶</w:t>
            </w:r>
          </w:p>
        </w:tc>
        <w:tc>
          <w:tcPr>
            <w:tcW w:w="1699" w:type="dxa"/>
          </w:tcPr>
          <w:p w14:paraId="73503CC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41275</wp:posOffset>
                  </wp:positionV>
                  <wp:extent cx="401320" cy="987425"/>
                  <wp:effectExtent l="0" t="0" r="10160" b="3175"/>
                  <wp:wrapNone/>
                  <wp:docPr id="14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图片 7"/>
                          <pic:cNvPicPr>
                            <a:picLocks noChangeAspect="1"/>
                          </pic:cNvPicPr>
                        </pic:nvPicPr>
                        <pic:blipFill>
                          <a:blip r:embed="rId11"/>
                          <a:stretch>
                            <a:fillRect/>
                          </a:stretch>
                        </pic:blipFill>
                        <pic:spPr>
                          <a:xfrm>
                            <a:off x="0" y="0"/>
                            <a:ext cx="401320" cy="987425"/>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497205</wp:posOffset>
                  </wp:positionH>
                  <wp:positionV relativeFrom="paragraph">
                    <wp:posOffset>20955</wp:posOffset>
                  </wp:positionV>
                  <wp:extent cx="415290" cy="1017905"/>
                  <wp:effectExtent l="0" t="0" r="11430" b="3175"/>
                  <wp:wrapNone/>
                  <wp:docPr id="14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图片 8"/>
                          <pic:cNvPicPr>
                            <a:picLocks noChangeAspect="1"/>
                          </pic:cNvPicPr>
                        </pic:nvPicPr>
                        <pic:blipFill>
                          <a:blip r:embed="rId12"/>
                          <a:stretch>
                            <a:fillRect/>
                          </a:stretch>
                        </pic:blipFill>
                        <pic:spPr>
                          <a:xfrm>
                            <a:off x="0" y="0"/>
                            <a:ext cx="415290" cy="1017905"/>
                          </a:xfrm>
                          <a:prstGeom prst="rect">
                            <a:avLst/>
                          </a:prstGeom>
                          <a:noFill/>
                          <a:ln w="9525">
                            <a:noFill/>
                          </a:ln>
                        </pic:spPr>
                      </pic:pic>
                    </a:graphicData>
                  </a:graphic>
                </wp:anchor>
              </w:drawing>
            </w:r>
          </w:p>
        </w:tc>
        <w:tc>
          <w:tcPr>
            <w:tcW w:w="2847" w:type="dxa"/>
          </w:tcPr>
          <w:p w14:paraId="276C6B1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产品类型为代用茶，生产工艺：真空冷冻干燥，归类为余甘子果干</w:t>
            </w:r>
          </w:p>
        </w:tc>
        <w:tc>
          <w:tcPr>
            <w:tcW w:w="1294" w:type="dxa"/>
          </w:tcPr>
          <w:p w14:paraId="1BB229F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产地：广西桂林</w:t>
            </w:r>
          </w:p>
        </w:tc>
      </w:tr>
      <w:tr w14:paraId="0AA4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7" w:type="dxa"/>
            <w:vAlign w:val="center"/>
          </w:tcPr>
          <w:p w14:paraId="25CD836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7</w:t>
            </w:r>
          </w:p>
        </w:tc>
        <w:tc>
          <w:tcPr>
            <w:tcW w:w="1880" w:type="dxa"/>
            <w:vAlign w:val="center"/>
          </w:tcPr>
          <w:p w14:paraId="17D029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小冰梅</w:t>
            </w:r>
          </w:p>
        </w:tc>
        <w:tc>
          <w:tcPr>
            <w:tcW w:w="1699" w:type="dxa"/>
          </w:tcPr>
          <w:p w14:paraId="39417A2B">
            <w:pPr>
              <w:keepNext w:val="0"/>
              <w:keepLines w:val="0"/>
              <w:pageBreakBefore w:val="0"/>
              <w:widowControl w:val="0"/>
              <w:kinsoku/>
              <w:wordWrap/>
              <w:overflowPunct/>
              <w:topLinePunct w:val="0"/>
              <w:autoSpaceDE/>
              <w:autoSpaceDN/>
              <w:bidi w:val="0"/>
              <w:adjustRightInd/>
              <w:snapToGrid/>
              <w:spacing w:line="560" w:lineRule="exact"/>
              <w:textAlignment w:val="auto"/>
            </w:pPr>
            <w:r>
              <w:drawing>
                <wp:anchor distT="0" distB="0" distL="114300" distR="114300" simplePos="0" relativeHeight="251666432" behindDoc="0" locked="0" layoutInCell="1" allowOverlap="1">
                  <wp:simplePos x="0" y="0"/>
                  <wp:positionH relativeFrom="column">
                    <wp:posOffset>-63500</wp:posOffset>
                  </wp:positionH>
                  <wp:positionV relativeFrom="paragraph">
                    <wp:posOffset>147955</wp:posOffset>
                  </wp:positionV>
                  <wp:extent cx="1071880" cy="636270"/>
                  <wp:effectExtent l="0" t="0" r="10160" b="3810"/>
                  <wp:wrapNone/>
                  <wp:docPr id="14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图片 9"/>
                          <pic:cNvPicPr>
                            <a:picLocks noChangeAspect="1"/>
                          </pic:cNvPicPr>
                        </pic:nvPicPr>
                        <pic:blipFill>
                          <a:blip r:embed="rId13"/>
                          <a:stretch>
                            <a:fillRect/>
                          </a:stretch>
                        </pic:blipFill>
                        <pic:spPr>
                          <a:xfrm>
                            <a:off x="0" y="0"/>
                            <a:ext cx="1071880" cy="636270"/>
                          </a:xfrm>
                          <a:prstGeom prst="rect">
                            <a:avLst/>
                          </a:prstGeom>
                          <a:noFill/>
                          <a:ln w="9525">
                            <a:noFill/>
                          </a:ln>
                        </pic:spPr>
                      </pic:pic>
                    </a:graphicData>
                  </a:graphic>
                </wp:anchor>
              </w:drawing>
            </w:r>
          </w:p>
        </w:tc>
        <w:tc>
          <w:tcPr>
            <w:tcW w:w="2847" w:type="dxa"/>
          </w:tcPr>
          <w:p w14:paraId="33A52E3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产品类型为蜜饯，生产工艺：腌渍、干燥，归类为余甘子蜜饯</w:t>
            </w:r>
          </w:p>
        </w:tc>
        <w:tc>
          <w:tcPr>
            <w:tcW w:w="1294" w:type="dxa"/>
          </w:tcPr>
          <w:p w14:paraId="48B3579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产地：广东揭西县</w:t>
            </w:r>
          </w:p>
        </w:tc>
      </w:tr>
      <w:tr w14:paraId="49F4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7" w:type="dxa"/>
            <w:vAlign w:val="center"/>
          </w:tcPr>
          <w:p w14:paraId="162B73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8</w:t>
            </w:r>
          </w:p>
        </w:tc>
        <w:tc>
          <w:tcPr>
            <w:tcW w:w="1880" w:type="dxa"/>
            <w:vAlign w:val="center"/>
          </w:tcPr>
          <w:p w14:paraId="084DBEB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南姜油柑</w:t>
            </w:r>
          </w:p>
        </w:tc>
        <w:tc>
          <w:tcPr>
            <w:tcW w:w="1699" w:type="dxa"/>
          </w:tcPr>
          <w:p w14:paraId="3C0EBE9C">
            <w:pPr>
              <w:keepNext w:val="0"/>
              <w:keepLines w:val="0"/>
              <w:pageBreakBefore w:val="0"/>
              <w:widowControl w:val="0"/>
              <w:kinsoku/>
              <w:wordWrap/>
              <w:overflowPunct/>
              <w:topLinePunct w:val="0"/>
              <w:autoSpaceDE/>
              <w:autoSpaceDN/>
              <w:bidi w:val="0"/>
              <w:adjustRightInd/>
              <w:snapToGrid/>
              <w:spacing w:line="560" w:lineRule="exact"/>
              <w:textAlignment w:val="auto"/>
            </w:pPr>
            <w:r>
              <w:drawing>
                <wp:anchor distT="0" distB="0" distL="114300" distR="114300" simplePos="0" relativeHeight="251667456" behindDoc="0" locked="0" layoutInCell="1" allowOverlap="1">
                  <wp:simplePos x="0" y="0"/>
                  <wp:positionH relativeFrom="column">
                    <wp:posOffset>196850</wp:posOffset>
                  </wp:positionH>
                  <wp:positionV relativeFrom="paragraph">
                    <wp:posOffset>12700</wp:posOffset>
                  </wp:positionV>
                  <wp:extent cx="508000" cy="1003935"/>
                  <wp:effectExtent l="0" t="0" r="10160" b="1905"/>
                  <wp:wrapNone/>
                  <wp:docPr id="14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图片 10"/>
                          <pic:cNvPicPr>
                            <a:picLocks noChangeAspect="1"/>
                          </pic:cNvPicPr>
                        </pic:nvPicPr>
                        <pic:blipFill>
                          <a:blip r:embed="rId14"/>
                          <a:stretch>
                            <a:fillRect/>
                          </a:stretch>
                        </pic:blipFill>
                        <pic:spPr>
                          <a:xfrm>
                            <a:off x="0" y="0"/>
                            <a:ext cx="508000" cy="1003935"/>
                          </a:xfrm>
                          <a:prstGeom prst="rect">
                            <a:avLst/>
                          </a:prstGeom>
                          <a:noFill/>
                          <a:ln w="9525">
                            <a:noFill/>
                          </a:ln>
                        </pic:spPr>
                      </pic:pic>
                    </a:graphicData>
                  </a:graphic>
                </wp:anchor>
              </w:drawing>
            </w:r>
          </w:p>
        </w:tc>
        <w:tc>
          <w:tcPr>
            <w:tcW w:w="2847" w:type="dxa"/>
          </w:tcPr>
          <w:p w14:paraId="7F43C5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产品类型为蜜饯，生产工艺：腌渍、干燥，归类为余甘子蜜饯</w:t>
            </w:r>
          </w:p>
        </w:tc>
        <w:tc>
          <w:tcPr>
            <w:tcW w:w="1294" w:type="dxa"/>
          </w:tcPr>
          <w:p w14:paraId="037737F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产地：广东省汕头市澄海区</w:t>
            </w:r>
          </w:p>
        </w:tc>
      </w:tr>
      <w:tr w14:paraId="0D49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7" w:type="dxa"/>
            <w:vAlign w:val="center"/>
          </w:tcPr>
          <w:p w14:paraId="675ECA4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9</w:t>
            </w:r>
          </w:p>
        </w:tc>
        <w:tc>
          <w:tcPr>
            <w:tcW w:w="1880" w:type="dxa"/>
            <w:vAlign w:val="center"/>
          </w:tcPr>
          <w:p w14:paraId="044DE41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情人果</w:t>
            </w:r>
          </w:p>
        </w:tc>
        <w:tc>
          <w:tcPr>
            <w:tcW w:w="1699" w:type="dxa"/>
          </w:tcPr>
          <w:p w14:paraId="642B4C87">
            <w:pPr>
              <w:keepNext w:val="0"/>
              <w:keepLines w:val="0"/>
              <w:pageBreakBefore w:val="0"/>
              <w:widowControl w:val="0"/>
              <w:kinsoku/>
              <w:wordWrap/>
              <w:overflowPunct/>
              <w:topLinePunct w:val="0"/>
              <w:autoSpaceDE/>
              <w:autoSpaceDN/>
              <w:bidi w:val="0"/>
              <w:adjustRightInd/>
              <w:snapToGrid/>
              <w:spacing w:line="560" w:lineRule="exact"/>
              <w:textAlignment w:val="auto"/>
            </w:pPr>
            <w:r>
              <w:drawing>
                <wp:anchor distT="0" distB="0" distL="114300" distR="114300" simplePos="0" relativeHeight="251668480" behindDoc="0" locked="0" layoutInCell="1" allowOverlap="1">
                  <wp:simplePos x="0" y="0"/>
                  <wp:positionH relativeFrom="column">
                    <wp:posOffset>69850</wp:posOffset>
                  </wp:positionH>
                  <wp:positionV relativeFrom="paragraph">
                    <wp:posOffset>15240</wp:posOffset>
                  </wp:positionV>
                  <wp:extent cx="780415" cy="1008380"/>
                  <wp:effectExtent l="0" t="0" r="12065" b="12700"/>
                  <wp:wrapNone/>
                  <wp:docPr id="14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图片 12"/>
                          <pic:cNvPicPr>
                            <a:picLocks noChangeAspect="1"/>
                          </pic:cNvPicPr>
                        </pic:nvPicPr>
                        <pic:blipFill>
                          <a:blip r:embed="rId15"/>
                          <a:stretch>
                            <a:fillRect/>
                          </a:stretch>
                        </pic:blipFill>
                        <pic:spPr>
                          <a:xfrm>
                            <a:off x="0" y="0"/>
                            <a:ext cx="780415" cy="1008380"/>
                          </a:xfrm>
                          <a:prstGeom prst="rect">
                            <a:avLst/>
                          </a:prstGeom>
                          <a:noFill/>
                          <a:ln w="9525">
                            <a:noFill/>
                          </a:ln>
                        </pic:spPr>
                      </pic:pic>
                    </a:graphicData>
                  </a:graphic>
                </wp:anchor>
              </w:drawing>
            </w:r>
          </w:p>
        </w:tc>
        <w:tc>
          <w:tcPr>
            <w:tcW w:w="2847" w:type="dxa"/>
          </w:tcPr>
          <w:p w14:paraId="34539D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产品类型为蜜饯，生产工艺：腌渍、干燥，归类为余甘子蜜饯</w:t>
            </w:r>
          </w:p>
        </w:tc>
        <w:tc>
          <w:tcPr>
            <w:tcW w:w="1294" w:type="dxa"/>
          </w:tcPr>
          <w:p w14:paraId="29D80B8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产地：广东揭西县</w:t>
            </w:r>
          </w:p>
        </w:tc>
      </w:tr>
      <w:tr w14:paraId="2BF9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7" w:type="dxa"/>
            <w:vAlign w:val="center"/>
          </w:tcPr>
          <w:p w14:paraId="59C03AA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880" w:type="dxa"/>
            <w:vAlign w:val="center"/>
          </w:tcPr>
          <w:p w14:paraId="0A47B74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甘草油甘果</w:t>
            </w:r>
          </w:p>
        </w:tc>
        <w:tc>
          <w:tcPr>
            <w:tcW w:w="1699" w:type="dxa"/>
          </w:tcPr>
          <w:p w14:paraId="0A8D6376">
            <w:pPr>
              <w:keepNext w:val="0"/>
              <w:keepLines w:val="0"/>
              <w:pageBreakBefore w:val="0"/>
              <w:widowControl w:val="0"/>
              <w:kinsoku/>
              <w:wordWrap/>
              <w:overflowPunct/>
              <w:topLinePunct w:val="0"/>
              <w:autoSpaceDE/>
              <w:autoSpaceDN/>
              <w:bidi w:val="0"/>
              <w:adjustRightInd/>
              <w:snapToGrid/>
              <w:spacing w:line="560" w:lineRule="exact"/>
              <w:textAlignment w:val="auto"/>
            </w:pPr>
            <w:r>
              <w:drawing>
                <wp:anchor distT="0" distB="0" distL="114300" distR="114300" simplePos="0" relativeHeight="251669504" behindDoc="0" locked="0" layoutInCell="1" allowOverlap="1">
                  <wp:simplePos x="0" y="0"/>
                  <wp:positionH relativeFrom="column">
                    <wp:posOffset>69850</wp:posOffset>
                  </wp:positionH>
                  <wp:positionV relativeFrom="paragraph">
                    <wp:posOffset>27940</wp:posOffset>
                  </wp:positionV>
                  <wp:extent cx="756920" cy="975995"/>
                  <wp:effectExtent l="0" t="0" r="5080" b="14605"/>
                  <wp:wrapNone/>
                  <wp:docPr id="14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图片 15"/>
                          <pic:cNvPicPr>
                            <a:picLocks noChangeAspect="1"/>
                          </pic:cNvPicPr>
                        </pic:nvPicPr>
                        <pic:blipFill>
                          <a:blip r:embed="rId16"/>
                          <a:stretch>
                            <a:fillRect/>
                          </a:stretch>
                        </pic:blipFill>
                        <pic:spPr>
                          <a:xfrm>
                            <a:off x="0" y="0"/>
                            <a:ext cx="756920" cy="975995"/>
                          </a:xfrm>
                          <a:prstGeom prst="rect">
                            <a:avLst/>
                          </a:prstGeom>
                          <a:noFill/>
                          <a:ln w="9525">
                            <a:noFill/>
                          </a:ln>
                        </pic:spPr>
                      </pic:pic>
                    </a:graphicData>
                  </a:graphic>
                </wp:anchor>
              </w:drawing>
            </w:r>
          </w:p>
        </w:tc>
        <w:tc>
          <w:tcPr>
            <w:tcW w:w="2847" w:type="dxa"/>
          </w:tcPr>
          <w:p w14:paraId="2053CC3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产品类型为蜜饯，生产工艺：腌渍、干燥，归类为余甘子蜜饯</w:t>
            </w:r>
          </w:p>
        </w:tc>
        <w:tc>
          <w:tcPr>
            <w:tcW w:w="1294" w:type="dxa"/>
          </w:tcPr>
          <w:p w14:paraId="658EC34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产地：广东揭西县</w:t>
            </w:r>
          </w:p>
        </w:tc>
      </w:tr>
      <w:tr w14:paraId="6701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7" w:type="dxa"/>
            <w:vAlign w:val="center"/>
          </w:tcPr>
          <w:p w14:paraId="678BA2B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11</w:t>
            </w:r>
          </w:p>
        </w:tc>
        <w:tc>
          <w:tcPr>
            <w:tcW w:w="1880" w:type="dxa"/>
            <w:vAlign w:val="center"/>
          </w:tcPr>
          <w:p w14:paraId="7CF13D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长辉余甘果</w:t>
            </w:r>
          </w:p>
        </w:tc>
        <w:tc>
          <w:tcPr>
            <w:tcW w:w="1699" w:type="dxa"/>
          </w:tcPr>
          <w:p w14:paraId="2FB9578B">
            <w:pPr>
              <w:keepNext w:val="0"/>
              <w:keepLines w:val="0"/>
              <w:pageBreakBefore w:val="0"/>
              <w:widowControl w:val="0"/>
              <w:kinsoku/>
              <w:wordWrap/>
              <w:overflowPunct/>
              <w:topLinePunct w:val="0"/>
              <w:autoSpaceDE/>
              <w:autoSpaceDN/>
              <w:bidi w:val="0"/>
              <w:adjustRightInd/>
              <w:snapToGrid/>
              <w:spacing w:line="560" w:lineRule="exact"/>
              <w:textAlignment w:val="auto"/>
            </w:pPr>
            <w:r>
              <w:drawing>
                <wp:anchor distT="0" distB="0" distL="114300" distR="114300" simplePos="0" relativeHeight="251671552" behindDoc="0" locked="0" layoutInCell="1" allowOverlap="1">
                  <wp:simplePos x="0" y="0"/>
                  <wp:positionH relativeFrom="column">
                    <wp:posOffset>82550</wp:posOffset>
                  </wp:positionH>
                  <wp:positionV relativeFrom="paragraph">
                    <wp:posOffset>1066800</wp:posOffset>
                  </wp:positionV>
                  <wp:extent cx="746760" cy="1024255"/>
                  <wp:effectExtent l="0" t="0" r="0" b="12065"/>
                  <wp:wrapNone/>
                  <wp:docPr id="14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图片 16"/>
                          <pic:cNvPicPr>
                            <a:picLocks noChangeAspect="1"/>
                          </pic:cNvPicPr>
                        </pic:nvPicPr>
                        <pic:blipFill>
                          <a:blip r:embed="rId17"/>
                          <a:stretch>
                            <a:fillRect/>
                          </a:stretch>
                        </pic:blipFill>
                        <pic:spPr>
                          <a:xfrm>
                            <a:off x="0" y="0"/>
                            <a:ext cx="746760" cy="1024255"/>
                          </a:xfrm>
                          <a:prstGeom prst="rect">
                            <a:avLst/>
                          </a:prstGeom>
                          <a:noFill/>
                          <a:ln w="9525">
                            <a:noFill/>
                          </a:ln>
                        </pic:spPr>
                      </pic:pic>
                    </a:graphicData>
                  </a:graphic>
                </wp:anchor>
              </w:drawing>
            </w:r>
            <w:r>
              <w:drawing>
                <wp:anchor distT="0" distB="0" distL="114300" distR="114300" simplePos="0" relativeHeight="251670528" behindDoc="0" locked="0" layoutInCell="1" allowOverlap="1">
                  <wp:simplePos x="0" y="0"/>
                  <wp:positionH relativeFrom="column">
                    <wp:posOffset>139065</wp:posOffset>
                  </wp:positionH>
                  <wp:positionV relativeFrom="paragraph">
                    <wp:posOffset>22225</wp:posOffset>
                  </wp:positionV>
                  <wp:extent cx="595630" cy="991870"/>
                  <wp:effectExtent l="0" t="0" r="13970" b="13970"/>
                  <wp:wrapNone/>
                  <wp:docPr id="14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图片 14"/>
                          <pic:cNvPicPr>
                            <a:picLocks noChangeAspect="1"/>
                          </pic:cNvPicPr>
                        </pic:nvPicPr>
                        <pic:blipFill>
                          <a:blip r:embed="rId18"/>
                          <a:stretch>
                            <a:fillRect/>
                          </a:stretch>
                        </pic:blipFill>
                        <pic:spPr>
                          <a:xfrm>
                            <a:off x="0" y="0"/>
                            <a:ext cx="595630" cy="991870"/>
                          </a:xfrm>
                          <a:prstGeom prst="rect">
                            <a:avLst/>
                          </a:prstGeom>
                          <a:noFill/>
                          <a:ln w="9525">
                            <a:noFill/>
                          </a:ln>
                        </pic:spPr>
                      </pic:pic>
                    </a:graphicData>
                  </a:graphic>
                </wp:anchor>
              </w:drawing>
            </w:r>
          </w:p>
        </w:tc>
        <w:tc>
          <w:tcPr>
            <w:tcW w:w="2847" w:type="dxa"/>
          </w:tcPr>
          <w:p w14:paraId="118D830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产品类型为蜜饯，生产工艺：腌渍、干燥，归类为余甘子蜜饯</w:t>
            </w:r>
          </w:p>
        </w:tc>
        <w:tc>
          <w:tcPr>
            <w:tcW w:w="1294" w:type="dxa"/>
          </w:tcPr>
          <w:p w14:paraId="77D4D09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产地：福建省漳州市</w:t>
            </w:r>
          </w:p>
        </w:tc>
      </w:tr>
      <w:tr w14:paraId="66D2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7" w:type="dxa"/>
            <w:vAlign w:val="center"/>
          </w:tcPr>
          <w:p w14:paraId="6B3226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12</w:t>
            </w:r>
          </w:p>
        </w:tc>
        <w:tc>
          <w:tcPr>
            <w:tcW w:w="1880" w:type="dxa"/>
            <w:vAlign w:val="center"/>
          </w:tcPr>
          <w:p w14:paraId="1DF4E77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傣密橄榄干</w:t>
            </w:r>
          </w:p>
        </w:tc>
        <w:tc>
          <w:tcPr>
            <w:tcW w:w="1699" w:type="dxa"/>
          </w:tcPr>
          <w:p w14:paraId="5E4F15B2">
            <w:pPr>
              <w:keepNext w:val="0"/>
              <w:keepLines w:val="0"/>
              <w:pageBreakBefore w:val="0"/>
              <w:widowControl w:val="0"/>
              <w:kinsoku/>
              <w:wordWrap/>
              <w:overflowPunct/>
              <w:topLinePunct w:val="0"/>
              <w:autoSpaceDE/>
              <w:autoSpaceDN/>
              <w:bidi w:val="0"/>
              <w:adjustRightInd/>
              <w:snapToGrid/>
              <w:spacing w:line="560" w:lineRule="exact"/>
              <w:textAlignment w:val="auto"/>
            </w:pPr>
          </w:p>
        </w:tc>
        <w:tc>
          <w:tcPr>
            <w:tcW w:w="2847" w:type="dxa"/>
          </w:tcPr>
          <w:p w14:paraId="352256E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产品类型为蜜饯，生产工艺：腌渍、干燥，归类为余甘子蜜饯</w:t>
            </w:r>
          </w:p>
        </w:tc>
        <w:tc>
          <w:tcPr>
            <w:tcW w:w="1294" w:type="dxa"/>
          </w:tcPr>
          <w:p w14:paraId="0BA3033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产地：云南马龙</w:t>
            </w:r>
          </w:p>
        </w:tc>
      </w:tr>
    </w:tbl>
    <w:p w14:paraId="32795D8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lang w:val="en-US" w:eastAsia="zh-CN"/>
        </w:rPr>
      </w:pPr>
      <w:r>
        <w:rPr>
          <w:rFonts w:hint="eastAsia" w:eastAsia="方正仿宋_GB2312" w:cs="方正仿宋_GB2312"/>
          <w:sz w:val="32"/>
          <w:szCs w:val="32"/>
          <w:lang w:val="en-US" w:eastAsia="zh-CN"/>
        </w:rPr>
        <w:t>表6 余甘子果干水分及总酸检测结果</w:t>
      </w:r>
    </w:p>
    <w:tbl>
      <w:tblPr>
        <w:tblStyle w:val="4"/>
        <w:tblW w:w="8946"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876"/>
        <w:gridCol w:w="2918"/>
        <w:gridCol w:w="2919"/>
      </w:tblGrid>
      <w:tr w14:paraId="5B29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3" w:type="dxa"/>
          </w:tcPr>
          <w:p w14:paraId="08C252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样品号</w:t>
            </w:r>
          </w:p>
        </w:tc>
        <w:tc>
          <w:tcPr>
            <w:tcW w:w="1876" w:type="dxa"/>
          </w:tcPr>
          <w:p w14:paraId="25C040A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样品名称</w:t>
            </w:r>
          </w:p>
        </w:tc>
        <w:tc>
          <w:tcPr>
            <w:tcW w:w="2918" w:type="dxa"/>
          </w:tcPr>
          <w:p w14:paraId="058CC88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水分含量g/100g</w:t>
            </w:r>
          </w:p>
        </w:tc>
        <w:tc>
          <w:tcPr>
            <w:tcW w:w="2919" w:type="dxa"/>
          </w:tcPr>
          <w:p w14:paraId="55755D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总酸g/kg</w:t>
            </w:r>
          </w:p>
        </w:tc>
      </w:tr>
      <w:tr w14:paraId="33E8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233" w:type="dxa"/>
            <w:vAlign w:val="top"/>
          </w:tcPr>
          <w:p w14:paraId="13CD3A7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w:t>
            </w:r>
          </w:p>
        </w:tc>
        <w:tc>
          <w:tcPr>
            <w:tcW w:w="1876" w:type="dxa"/>
            <w:vAlign w:val="top"/>
          </w:tcPr>
          <w:p w14:paraId="080E06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余甘子果干</w:t>
            </w:r>
          </w:p>
        </w:tc>
        <w:tc>
          <w:tcPr>
            <w:tcW w:w="2918" w:type="dxa"/>
            <w:vAlign w:val="top"/>
          </w:tcPr>
          <w:p w14:paraId="78C0C0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2.95±0.03</w:t>
            </w:r>
          </w:p>
        </w:tc>
        <w:tc>
          <w:tcPr>
            <w:tcW w:w="2919" w:type="dxa"/>
            <w:vAlign w:val="top"/>
          </w:tcPr>
          <w:p w14:paraId="1AF6FDF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51.58±1.63</w:t>
            </w:r>
          </w:p>
        </w:tc>
      </w:tr>
      <w:tr w14:paraId="5F3E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233" w:type="dxa"/>
            <w:vAlign w:val="top"/>
          </w:tcPr>
          <w:p w14:paraId="6B5D8DA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w:t>
            </w:r>
          </w:p>
        </w:tc>
        <w:tc>
          <w:tcPr>
            <w:tcW w:w="1876" w:type="dxa"/>
            <w:vAlign w:val="top"/>
          </w:tcPr>
          <w:p w14:paraId="1DF707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余甘子果干</w:t>
            </w:r>
          </w:p>
        </w:tc>
        <w:tc>
          <w:tcPr>
            <w:tcW w:w="2918" w:type="dxa"/>
            <w:vAlign w:val="top"/>
          </w:tcPr>
          <w:p w14:paraId="4D8426C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2.86±0.04</w:t>
            </w:r>
          </w:p>
        </w:tc>
        <w:tc>
          <w:tcPr>
            <w:tcW w:w="2919" w:type="dxa"/>
            <w:vAlign w:val="top"/>
          </w:tcPr>
          <w:p w14:paraId="5098EE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103.17±2.53</w:t>
            </w:r>
          </w:p>
        </w:tc>
      </w:tr>
      <w:tr w14:paraId="7FA6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233" w:type="dxa"/>
            <w:vAlign w:val="top"/>
          </w:tcPr>
          <w:p w14:paraId="1C2FC4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3</w:t>
            </w:r>
          </w:p>
        </w:tc>
        <w:tc>
          <w:tcPr>
            <w:tcW w:w="1876" w:type="dxa"/>
            <w:vAlign w:val="top"/>
          </w:tcPr>
          <w:p w14:paraId="36C525C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余甘子果干</w:t>
            </w:r>
          </w:p>
        </w:tc>
        <w:tc>
          <w:tcPr>
            <w:tcW w:w="2918" w:type="dxa"/>
            <w:vAlign w:val="top"/>
          </w:tcPr>
          <w:p w14:paraId="0D41E5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3.03±0.03</w:t>
            </w:r>
          </w:p>
        </w:tc>
        <w:tc>
          <w:tcPr>
            <w:tcW w:w="2919" w:type="dxa"/>
            <w:vAlign w:val="top"/>
          </w:tcPr>
          <w:p w14:paraId="306F5B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37.25±0.18</w:t>
            </w:r>
          </w:p>
        </w:tc>
      </w:tr>
      <w:tr w14:paraId="17C8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233" w:type="dxa"/>
            <w:vAlign w:val="top"/>
          </w:tcPr>
          <w:p w14:paraId="627BB7C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4</w:t>
            </w:r>
          </w:p>
        </w:tc>
        <w:tc>
          <w:tcPr>
            <w:tcW w:w="1876" w:type="dxa"/>
            <w:vAlign w:val="top"/>
          </w:tcPr>
          <w:p w14:paraId="4AEAED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油柑果脯</w:t>
            </w:r>
          </w:p>
        </w:tc>
        <w:tc>
          <w:tcPr>
            <w:tcW w:w="2918" w:type="dxa"/>
            <w:vAlign w:val="top"/>
          </w:tcPr>
          <w:p w14:paraId="678B2E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9.01±0.12</w:t>
            </w:r>
          </w:p>
        </w:tc>
        <w:tc>
          <w:tcPr>
            <w:tcW w:w="2919" w:type="dxa"/>
            <w:vAlign w:val="top"/>
          </w:tcPr>
          <w:p w14:paraId="0119D7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28.93±1.09</w:t>
            </w:r>
          </w:p>
        </w:tc>
      </w:tr>
      <w:tr w14:paraId="1672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233" w:type="dxa"/>
            <w:vAlign w:val="top"/>
          </w:tcPr>
          <w:p w14:paraId="284356D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5</w:t>
            </w:r>
          </w:p>
        </w:tc>
        <w:tc>
          <w:tcPr>
            <w:tcW w:w="1876" w:type="dxa"/>
            <w:vAlign w:val="top"/>
          </w:tcPr>
          <w:p w14:paraId="3E39D3B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油甘茶</w:t>
            </w:r>
          </w:p>
        </w:tc>
        <w:tc>
          <w:tcPr>
            <w:tcW w:w="2918" w:type="dxa"/>
            <w:vAlign w:val="top"/>
          </w:tcPr>
          <w:p w14:paraId="4CDBCA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9.39±0.07</w:t>
            </w:r>
          </w:p>
        </w:tc>
        <w:tc>
          <w:tcPr>
            <w:tcW w:w="2919" w:type="dxa"/>
            <w:vAlign w:val="top"/>
          </w:tcPr>
          <w:p w14:paraId="725F53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22.27±2.53</w:t>
            </w:r>
          </w:p>
        </w:tc>
      </w:tr>
      <w:tr w14:paraId="7CC0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233" w:type="dxa"/>
            <w:vAlign w:val="top"/>
          </w:tcPr>
          <w:p w14:paraId="504A33A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6</w:t>
            </w:r>
          </w:p>
        </w:tc>
        <w:tc>
          <w:tcPr>
            <w:tcW w:w="1876" w:type="dxa"/>
            <w:vAlign w:val="top"/>
          </w:tcPr>
          <w:p w14:paraId="62E4C7F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冻干油柑茶</w:t>
            </w:r>
          </w:p>
        </w:tc>
        <w:tc>
          <w:tcPr>
            <w:tcW w:w="2918" w:type="dxa"/>
            <w:vAlign w:val="top"/>
          </w:tcPr>
          <w:p w14:paraId="1CA0BC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4.95±0.06</w:t>
            </w:r>
          </w:p>
        </w:tc>
        <w:tc>
          <w:tcPr>
            <w:tcW w:w="2919" w:type="dxa"/>
            <w:vAlign w:val="top"/>
          </w:tcPr>
          <w:p w14:paraId="2B6C67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14.33±2.17</w:t>
            </w:r>
          </w:p>
        </w:tc>
      </w:tr>
    </w:tbl>
    <w:p w14:paraId="24BBB3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方正仿宋_GB2312" w:cs="方正仿宋_GB2312"/>
          <w:sz w:val="32"/>
          <w:szCs w:val="32"/>
          <w:lang w:val="en-US" w:eastAsia="zh-CN"/>
        </w:rPr>
      </w:pPr>
      <w:r>
        <w:rPr>
          <w:rFonts w:hint="eastAsia" w:eastAsia="方正仿宋_GB2312" w:cs="方正仿宋_GB2312"/>
          <w:sz w:val="32"/>
          <w:szCs w:val="32"/>
          <w:lang w:val="en-US" w:eastAsia="zh-CN"/>
        </w:rPr>
        <w:t>经试验验证，采集潮州普宁、广东廉江种植的余甘子在实验室进行热泵干燥及冷冻干燥，采集市售的余甘子果干检测水分含量和总酸。水分含量均低于标准设定值，总酸含量差异较大，因此不对该指标进行设置。</w:t>
      </w:r>
    </w:p>
    <w:p w14:paraId="15F95D4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eastAsia="方正仿宋_GB2312" w:cs="方正仿宋_GB2312"/>
          <w:sz w:val="32"/>
          <w:szCs w:val="32"/>
          <w:lang w:val="en-US" w:eastAsia="zh-CN"/>
        </w:rPr>
      </w:pPr>
      <w:r>
        <w:rPr>
          <w:rFonts w:hint="eastAsia" w:eastAsia="方正仿宋_GB2312" w:cs="方正仿宋_GB2312"/>
          <w:sz w:val="32"/>
          <w:szCs w:val="32"/>
          <w:lang w:val="en-US" w:eastAsia="zh-CN"/>
        </w:rPr>
        <w:t>经过对市售产品菌落总数、大肠菌群以及霉菌进行检测。6号样品冻干油柑茶菌落总数超过标准设定的限量（n</w:t>
      </w:r>
      <w:r>
        <w:rPr>
          <w:rFonts w:hint="eastAsia" w:eastAsia="方正仿宋_GB2312" w:cs="方正仿宋_GB2312"/>
          <w:sz w:val="32"/>
          <w:szCs w:val="32"/>
          <w:lang w:val="en-US" w:eastAsia="zh-CN"/>
        </w:rPr>
        <w:tab/>
      </w:r>
      <w:r>
        <w:rPr>
          <w:rFonts w:hint="eastAsia" w:eastAsia="方正仿宋_GB2312" w:cs="方正仿宋_GB2312"/>
          <w:sz w:val="32"/>
          <w:szCs w:val="32"/>
          <w:lang w:val="en-US" w:eastAsia="zh-CN"/>
        </w:rPr>
        <w:t>=5, c=2,</w:t>
      </w:r>
      <w:r>
        <w:rPr>
          <w:rFonts w:hint="eastAsia" w:eastAsia="方正仿宋_GB2312" w:cs="方正仿宋_GB2312"/>
          <w:sz w:val="32"/>
          <w:szCs w:val="32"/>
          <w:lang w:val="en-US" w:eastAsia="zh-CN"/>
        </w:rPr>
        <w:tab/>
      </w:r>
      <w:r>
        <w:rPr>
          <w:rFonts w:hint="eastAsia" w:eastAsia="方正仿宋_GB2312" w:cs="方正仿宋_GB2312"/>
          <w:sz w:val="32"/>
          <w:szCs w:val="32"/>
          <w:lang w:val="en-US" w:eastAsia="zh-CN"/>
        </w:rPr>
        <w:t>m=10</w:t>
      </w:r>
      <w:r>
        <w:rPr>
          <w:rFonts w:hint="eastAsia" w:eastAsia="方正仿宋_GB2312" w:cs="方正仿宋_GB2312"/>
          <w:sz w:val="32"/>
          <w:szCs w:val="32"/>
          <w:vertAlign w:val="superscript"/>
          <w:lang w:val="en-US" w:eastAsia="zh-CN"/>
        </w:rPr>
        <w:t>3</w:t>
      </w:r>
      <w:r>
        <w:rPr>
          <w:rFonts w:hint="eastAsia" w:eastAsia="方正仿宋_GB2312" w:cs="方正仿宋_GB2312"/>
          <w:sz w:val="32"/>
          <w:szCs w:val="32"/>
          <w:lang w:val="en-US" w:eastAsia="zh-CN"/>
        </w:rPr>
        <w:t>, M=10</w:t>
      </w:r>
      <w:r>
        <w:rPr>
          <w:rFonts w:hint="eastAsia" w:eastAsia="方正仿宋_GB2312" w:cs="方正仿宋_GB2312"/>
          <w:sz w:val="32"/>
          <w:szCs w:val="32"/>
          <w:vertAlign w:val="superscript"/>
          <w:lang w:val="en-US" w:eastAsia="zh-CN"/>
        </w:rPr>
        <w:t>4</w:t>
      </w:r>
      <w:r>
        <w:rPr>
          <w:rFonts w:hint="eastAsia" w:eastAsia="方正仿宋_GB2312" w:cs="方正仿宋_GB2312"/>
          <w:sz w:val="32"/>
          <w:szCs w:val="32"/>
          <w:lang w:val="en-US" w:eastAsia="zh-CN"/>
        </w:rPr>
        <w:t>）。这可能的原因是该产品包装密封性较差，且冻干产品极易吸潮导致微生物繁殖。4号油柑果脯菌落、大肠菌群较多，霉菌超过标准设定限量，可能的原因产品晾晒、包装或者储存的环境较差，对产品污染较严重。其余产品均能符合标准设定的微生物限量要求。对余甘子果干产品设置与蜜饯相同标准的微生物限量，有助于促进加工企业改善生产环境、提高生产标准。经过验证，本标准设置的微生物限量要求可满足食品安全的要求，且能促进余甘子加工产业良性可持续发展。</w:t>
      </w:r>
    </w:p>
    <w:p w14:paraId="38CDC102">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eastAsia="方正仿宋_GB2312" w:cs="方正仿宋_GB2312"/>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eastAsia="方正仿宋_GB2312" w:cs="方正仿宋_GB2312"/>
          <w:sz w:val="32"/>
          <w:szCs w:val="32"/>
          <w:lang w:val="en-US" w:eastAsia="zh-CN"/>
        </w:rPr>
        <w:t>目前市面上余甘子果酱产品较少，但从行业发展来看，未来可能出现余甘子果酱产品，因此除了</w:t>
      </w:r>
      <w:r>
        <w:rPr>
          <w:rFonts w:hint="eastAsia" w:eastAsia="方正仿宋_GB2312" w:cs="Arial"/>
          <w:sz w:val="32"/>
          <w:lang w:val="en-US" w:eastAsia="zh-CN"/>
        </w:rPr>
        <w:t>罐头工艺生产的余甘子制品应符合罐头食品商业无菌要求外，其余余甘子果酱产品应符合标准设定的微生物限量。</w:t>
      </w:r>
    </w:p>
    <w:p w14:paraId="3F13B2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lang w:val="en-US" w:eastAsia="zh-CN"/>
        </w:rPr>
      </w:pPr>
      <w:r>
        <w:rPr>
          <w:rFonts w:hint="eastAsia" w:eastAsia="方正仿宋_GB2312" w:cs="方正仿宋_GB2312"/>
          <w:sz w:val="32"/>
          <w:szCs w:val="32"/>
          <w:lang w:val="en-US" w:eastAsia="zh-CN"/>
        </w:rPr>
        <w:t>表7 市售余甘子制品微生物检测结果</w:t>
      </w:r>
    </w:p>
    <w:tbl>
      <w:tblPr>
        <w:tblStyle w:val="4"/>
        <w:tblW w:w="1429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549"/>
        <w:gridCol w:w="975"/>
        <w:gridCol w:w="975"/>
        <w:gridCol w:w="975"/>
        <w:gridCol w:w="975"/>
        <w:gridCol w:w="975"/>
        <w:gridCol w:w="3"/>
        <w:gridCol w:w="972"/>
        <w:gridCol w:w="975"/>
        <w:gridCol w:w="975"/>
        <w:gridCol w:w="975"/>
        <w:gridCol w:w="982"/>
        <w:gridCol w:w="1776"/>
      </w:tblGrid>
      <w:tr w14:paraId="782A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211" w:type="dxa"/>
            <w:vAlign w:val="center"/>
          </w:tcPr>
          <w:p w14:paraId="016BD2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样品号</w:t>
            </w:r>
          </w:p>
        </w:tc>
        <w:tc>
          <w:tcPr>
            <w:tcW w:w="1549" w:type="dxa"/>
            <w:vAlign w:val="center"/>
          </w:tcPr>
          <w:p w14:paraId="62D8A1D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样品名称</w:t>
            </w:r>
          </w:p>
        </w:tc>
        <w:tc>
          <w:tcPr>
            <w:tcW w:w="4878" w:type="dxa"/>
            <w:gridSpan w:val="6"/>
            <w:vAlign w:val="center"/>
          </w:tcPr>
          <w:p w14:paraId="68B0D30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菌落总数CFU/g</w:t>
            </w:r>
          </w:p>
        </w:tc>
        <w:tc>
          <w:tcPr>
            <w:tcW w:w="4879" w:type="dxa"/>
            <w:gridSpan w:val="5"/>
            <w:vAlign w:val="center"/>
          </w:tcPr>
          <w:p w14:paraId="632A54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大肠菌群CFU/g</w:t>
            </w:r>
          </w:p>
        </w:tc>
        <w:tc>
          <w:tcPr>
            <w:tcW w:w="1776" w:type="dxa"/>
            <w:vAlign w:val="center"/>
          </w:tcPr>
          <w:p w14:paraId="1EB7B7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32"/>
                <w:szCs w:val="32"/>
                <w:vertAlign w:val="baseline"/>
                <w:lang w:val="en-US" w:eastAsia="zh-CN"/>
              </w:rPr>
            </w:pPr>
            <w:r>
              <w:rPr>
                <w:rFonts w:hint="eastAsia" w:eastAsia="方正仿宋_GB2312" w:cs="方正仿宋_GB2312"/>
                <w:sz w:val="32"/>
                <w:szCs w:val="32"/>
                <w:vertAlign w:val="baseline"/>
                <w:lang w:val="en-US" w:eastAsia="zh-CN"/>
              </w:rPr>
              <w:t>霉菌CFU/g</w:t>
            </w:r>
          </w:p>
        </w:tc>
      </w:tr>
      <w:tr w14:paraId="0162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right"/>
        </w:trPr>
        <w:tc>
          <w:tcPr>
            <w:tcW w:w="1211" w:type="dxa"/>
            <w:vAlign w:val="center"/>
          </w:tcPr>
          <w:p w14:paraId="0D73692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4</w:t>
            </w:r>
          </w:p>
        </w:tc>
        <w:tc>
          <w:tcPr>
            <w:tcW w:w="1549" w:type="dxa"/>
            <w:vAlign w:val="center"/>
          </w:tcPr>
          <w:p w14:paraId="32FE3F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油柑果脯</w:t>
            </w:r>
          </w:p>
        </w:tc>
        <w:tc>
          <w:tcPr>
            <w:tcW w:w="975" w:type="dxa"/>
            <w:vAlign w:val="top"/>
          </w:tcPr>
          <w:p w14:paraId="02E05C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3000</w:t>
            </w:r>
          </w:p>
        </w:tc>
        <w:tc>
          <w:tcPr>
            <w:tcW w:w="975" w:type="dxa"/>
            <w:vAlign w:val="top"/>
          </w:tcPr>
          <w:p w14:paraId="1DE3DA7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900</w:t>
            </w:r>
          </w:p>
        </w:tc>
        <w:tc>
          <w:tcPr>
            <w:tcW w:w="975" w:type="dxa"/>
            <w:vAlign w:val="top"/>
          </w:tcPr>
          <w:p w14:paraId="38713E7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2100</w:t>
            </w:r>
          </w:p>
        </w:tc>
        <w:tc>
          <w:tcPr>
            <w:tcW w:w="975" w:type="dxa"/>
            <w:vAlign w:val="top"/>
          </w:tcPr>
          <w:p w14:paraId="3790CA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770</w:t>
            </w:r>
          </w:p>
        </w:tc>
        <w:tc>
          <w:tcPr>
            <w:tcW w:w="975" w:type="dxa"/>
            <w:vAlign w:val="top"/>
          </w:tcPr>
          <w:p w14:paraId="4E1D680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400</w:t>
            </w:r>
          </w:p>
        </w:tc>
        <w:tc>
          <w:tcPr>
            <w:tcW w:w="975" w:type="dxa"/>
            <w:gridSpan w:val="2"/>
            <w:vAlign w:val="top"/>
          </w:tcPr>
          <w:p w14:paraId="62E9062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11</w:t>
            </w:r>
          </w:p>
        </w:tc>
        <w:tc>
          <w:tcPr>
            <w:tcW w:w="975" w:type="dxa"/>
            <w:vAlign w:val="top"/>
          </w:tcPr>
          <w:p w14:paraId="5C1A17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196E432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6</w:t>
            </w:r>
          </w:p>
        </w:tc>
        <w:tc>
          <w:tcPr>
            <w:tcW w:w="975" w:type="dxa"/>
            <w:vAlign w:val="top"/>
          </w:tcPr>
          <w:p w14:paraId="47FF8FD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20</w:t>
            </w:r>
          </w:p>
        </w:tc>
        <w:tc>
          <w:tcPr>
            <w:tcW w:w="982" w:type="dxa"/>
            <w:vAlign w:val="top"/>
          </w:tcPr>
          <w:p w14:paraId="2438F36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776" w:type="dxa"/>
            <w:vAlign w:val="top"/>
          </w:tcPr>
          <w:p w14:paraId="75885B6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120</w:t>
            </w:r>
          </w:p>
        </w:tc>
      </w:tr>
      <w:tr w14:paraId="1734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right"/>
        </w:trPr>
        <w:tc>
          <w:tcPr>
            <w:tcW w:w="1211" w:type="dxa"/>
            <w:vAlign w:val="center"/>
          </w:tcPr>
          <w:p w14:paraId="45C765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5</w:t>
            </w:r>
          </w:p>
        </w:tc>
        <w:tc>
          <w:tcPr>
            <w:tcW w:w="1549" w:type="dxa"/>
            <w:vAlign w:val="center"/>
          </w:tcPr>
          <w:p w14:paraId="32C684C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油甘茶</w:t>
            </w:r>
          </w:p>
        </w:tc>
        <w:tc>
          <w:tcPr>
            <w:tcW w:w="975" w:type="dxa"/>
            <w:vAlign w:val="top"/>
          </w:tcPr>
          <w:p w14:paraId="263CB1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260</w:t>
            </w:r>
          </w:p>
        </w:tc>
        <w:tc>
          <w:tcPr>
            <w:tcW w:w="975" w:type="dxa"/>
            <w:vAlign w:val="top"/>
          </w:tcPr>
          <w:p w14:paraId="2D9CE4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90</w:t>
            </w:r>
          </w:p>
        </w:tc>
        <w:tc>
          <w:tcPr>
            <w:tcW w:w="975" w:type="dxa"/>
            <w:vAlign w:val="top"/>
          </w:tcPr>
          <w:p w14:paraId="6948C4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70</w:t>
            </w:r>
          </w:p>
        </w:tc>
        <w:tc>
          <w:tcPr>
            <w:tcW w:w="975" w:type="dxa"/>
            <w:vAlign w:val="top"/>
          </w:tcPr>
          <w:p w14:paraId="42A6E24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150</w:t>
            </w:r>
          </w:p>
        </w:tc>
        <w:tc>
          <w:tcPr>
            <w:tcW w:w="975" w:type="dxa"/>
            <w:vAlign w:val="top"/>
          </w:tcPr>
          <w:p w14:paraId="6C9E0F4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230</w:t>
            </w:r>
          </w:p>
        </w:tc>
        <w:tc>
          <w:tcPr>
            <w:tcW w:w="975" w:type="dxa"/>
            <w:gridSpan w:val="2"/>
            <w:vAlign w:val="top"/>
          </w:tcPr>
          <w:p w14:paraId="16AFE6A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28B8214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52EC6C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71633AD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82" w:type="dxa"/>
            <w:vAlign w:val="top"/>
          </w:tcPr>
          <w:p w14:paraId="79DF50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776" w:type="dxa"/>
            <w:vAlign w:val="top"/>
          </w:tcPr>
          <w:p w14:paraId="5E80400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r>
      <w:tr w14:paraId="6585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right"/>
        </w:trPr>
        <w:tc>
          <w:tcPr>
            <w:tcW w:w="1211" w:type="dxa"/>
            <w:vAlign w:val="center"/>
          </w:tcPr>
          <w:p w14:paraId="2CDB3E3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6</w:t>
            </w:r>
          </w:p>
        </w:tc>
        <w:tc>
          <w:tcPr>
            <w:tcW w:w="1549" w:type="dxa"/>
            <w:vAlign w:val="center"/>
          </w:tcPr>
          <w:p w14:paraId="23320E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冻干油柑茶</w:t>
            </w:r>
          </w:p>
        </w:tc>
        <w:tc>
          <w:tcPr>
            <w:tcW w:w="975" w:type="dxa"/>
            <w:vAlign w:val="top"/>
          </w:tcPr>
          <w:p w14:paraId="2250DD5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3800</w:t>
            </w:r>
          </w:p>
        </w:tc>
        <w:tc>
          <w:tcPr>
            <w:tcW w:w="975" w:type="dxa"/>
            <w:vAlign w:val="top"/>
          </w:tcPr>
          <w:p w14:paraId="7E4FBA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1300</w:t>
            </w:r>
          </w:p>
        </w:tc>
        <w:tc>
          <w:tcPr>
            <w:tcW w:w="975" w:type="dxa"/>
            <w:vAlign w:val="top"/>
          </w:tcPr>
          <w:p w14:paraId="654D487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1300</w:t>
            </w:r>
          </w:p>
        </w:tc>
        <w:tc>
          <w:tcPr>
            <w:tcW w:w="975" w:type="dxa"/>
            <w:vAlign w:val="top"/>
          </w:tcPr>
          <w:p w14:paraId="6BED50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800</w:t>
            </w:r>
          </w:p>
        </w:tc>
        <w:tc>
          <w:tcPr>
            <w:tcW w:w="975" w:type="dxa"/>
            <w:vAlign w:val="top"/>
          </w:tcPr>
          <w:p w14:paraId="78B5BA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1500</w:t>
            </w:r>
          </w:p>
        </w:tc>
        <w:tc>
          <w:tcPr>
            <w:tcW w:w="975" w:type="dxa"/>
            <w:gridSpan w:val="2"/>
            <w:vAlign w:val="top"/>
          </w:tcPr>
          <w:p w14:paraId="441058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434B14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6C81B37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243EC24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82" w:type="dxa"/>
            <w:vAlign w:val="top"/>
          </w:tcPr>
          <w:p w14:paraId="4FDE72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776" w:type="dxa"/>
            <w:vAlign w:val="top"/>
          </w:tcPr>
          <w:p w14:paraId="47FBB79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r>
      <w:tr w14:paraId="7191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right"/>
        </w:trPr>
        <w:tc>
          <w:tcPr>
            <w:tcW w:w="1211" w:type="dxa"/>
            <w:vAlign w:val="center"/>
          </w:tcPr>
          <w:p w14:paraId="6F10DD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7</w:t>
            </w:r>
          </w:p>
        </w:tc>
        <w:tc>
          <w:tcPr>
            <w:tcW w:w="1549" w:type="dxa"/>
            <w:vAlign w:val="center"/>
          </w:tcPr>
          <w:p w14:paraId="50035B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小冰梅</w:t>
            </w:r>
          </w:p>
        </w:tc>
        <w:tc>
          <w:tcPr>
            <w:tcW w:w="975" w:type="dxa"/>
            <w:vAlign w:val="top"/>
          </w:tcPr>
          <w:p w14:paraId="6FB1B5C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60</w:t>
            </w:r>
          </w:p>
        </w:tc>
        <w:tc>
          <w:tcPr>
            <w:tcW w:w="975" w:type="dxa"/>
            <w:vAlign w:val="top"/>
          </w:tcPr>
          <w:p w14:paraId="1506CD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7C298C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25</w:t>
            </w:r>
          </w:p>
        </w:tc>
        <w:tc>
          <w:tcPr>
            <w:tcW w:w="975" w:type="dxa"/>
            <w:vAlign w:val="top"/>
          </w:tcPr>
          <w:p w14:paraId="6AE4DE7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70</w:t>
            </w:r>
          </w:p>
        </w:tc>
        <w:tc>
          <w:tcPr>
            <w:tcW w:w="975" w:type="dxa"/>
            <w:vAlign w:val="top"/>
          </w:tcPr>
          <w:p w14:paraId="4760BF6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15</w:t>
            </w:r>
          </w:p>
        </w:tc>
        <w:tc>
          <w:tcPr>
            <w:tcW w:w="975" w:type="dxa"/>
            <w:gridSpan w:val="2"/>
            <w:vAlign w:val="top"/>
          </w:tcPr>
          <w:p w14:paraId="0AC992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37B4A1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2C89310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280ACEA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82" w:type="dxa"/>
            <w:vAlign w:val="top"/>
          </w:tcPr>
          <w:p w14:paraId="198A605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776" w:type="dxa"/>
            <w:vAlign w:val="top"/>
          </w:tcPr>
          <w:p w14:paraId="3B3EED3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r>
      <w:tr w14:paraId="7D63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right"/>
        </w:trPr>
        <w:tc>
          <w:tcPr>
            <w:tcW w:w="1211" w:type="dxa"/>
            <w:vAlign w:val="center"/>
          </w:tcPr>
          <w:p w14:paraId="6949B60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8</w:t>
            </w:r>
          </w:p>
        </w:tc>
        <w:tc>
          <w:tcPr>
            <w:tcW w:w="1549" w:type="dxa"/>
            <w:vAlign w:val="center"/>
          </w:tcPr>
          <w:p w14:paraId="791ED95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南姜油柑</w:t>
            </w:r>
          </w:p>
        </w:tc>
        <w:tc>
          <w:tcPr>
            <w:tcW w:w="975" w:type="dxa"/>
            <w:vAlign w:val="top"/>
          </w:tcPr>
          <w:p w14:paraId="1EAD8F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240</w:t>
            </w:r>
          </w:p>
        </w:tc>
        <w:tc>
          <w:tcPr>
            <w:tcW w:w="975" w:type="dxa"/>
            <w:vAlign w:val="top"/>
          </w:tcPr>
          <w:p w14:paraId="605892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180</w:t>
            </w:r>
          </w:p>
        </w:tc>
        <w:tc>
          <w:tcPr>
            <w:tcW w:w="975" w:type="dxa"/>
            <w:vAlign w:val="top"/>
          </w:tcPr>
          <w:p w14:paraId="6ED16FB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180</w:t>
            </w:r>
          </w:p>
        </w:tc>
        <w:tc>
          <w:tcPr>
            <w:tcW w:w="975" w:type="dxa"/>
            <w:vAlign w:val="top"/>
          </w:tcPr>
          <w:p w14:paraId="446757D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130</w:t>
            </w:r>
          </w:p>
        </w:tc>
        <w:tc>
          <w:tcPr>
            <w:tcW w:w="975" w:type="dxa"/>
            <w:vAlign w:val="top"/>
          </w:tcPr>
          <w:p w14:paraId="1FA7266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200</w:t>
            </w:r>
          </w:p>
        </w:tc>
        <w:tc>
          <w:tcPr>
            <w:tcW w:w="975" w:type="dxa"/>
            <w:gridSpan w:val="2"/>
            <w:vAlign w:val="top"/>
          </w:tcPr>
          <w:p w14:paraId="67CBFAC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10D2508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19032D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7E5AC1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82" w:type="dxa"/>
            <w:vAlign w:val="top"/>
          </w:tcPr>
          <w:p w14:paraId="2254DB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776" w:type="dxa"/>
            <w:vAlign w:val="top"/>
          </w:tcPr>
          <w:p w14:paraId="2D9CC0C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r>
      <w:tr w14:paraId="09A3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right"/>
        </w:trPr>
        <w:tc>
          <w:tcPr>
            <w:tcW w:w="1211" w:type="dxa"/>
            <w:vAlign w:val="center"/>
          </w:tcPr>
          <w:p w14:paraId="7E991A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9</w:t>
            </w:r>
          </w:p>
        </w:tc>
        <w:tc>
          <w:tcPr>
            <w:tcW w:w="1549" w:type="dxa"/>
            <w:vAlign w:val="center"/>
          </w:tcPr>
          <w:p w14:paraId="09D044C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情人果</w:t>
            </w:r>
          </w:p>
        </w:tc>
        <w:tc>
          <w:tcPr>
            <w:tcW w:w="975" w:type="dxa"/>
            <w:vAlign w:val="top"/>
          </w:tcPr>
          <w:p w14:paraId="310541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35</w:t>
            </w:r>
          </w:p>
        </w:tc>
        <w:tc>
          <w:tcPr>
            <w:tcW w:w="975" w:type="dxa"/>
            <w:vAlign w:val="top"/>
          </w:tcPr>
          <w:p w14:paraId="1C42102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20</w:t>
            </w:r>
          </w:p>
        </w:tc>
        <w:tc>
          <w:tcPr>
            <w:tcW w:w="975" w:type="dxa"/>
            <w:vAlign w:val="top"/>
          </w:tcPr>
          <w:p w14:paraId="6F8075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31FCBF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5</w:t>
            </w:r>
          </w:p>
        </w:tc>
        <w:tc>
          <w:tcPr>
            <w:tcW w:w="975" w:type="dxa"/>
            <w:vAlign w:val="top"/>
          </w:tcPr>
          <w:p w14:paraId="21B9A83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gridSpan w:val="2"/>
            <w:vAlign w:val="top"/>
          </w:tcPr>
          <w:p w14:paraId="36D722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6BD820F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68D219E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24936C9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82" w:type="dxa"/>
            <w:vAlign w:val="top"/>
          </w:tcPr>
          <w:p w14:paraId="7AB13AE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776" w:type="dxa"/>
            <w:vAlign w:val="top"/>
          </w:tcPr>
          <w:p w14:paraId="35B5DB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r>
      <w:tr w14:paraId="07C4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right"/>
        </w:trPr>
        <w:tc>
          <w:tcPr>
            <w:tcW w:w="1211" w:type="dxa"/>
            <w:vAlign w:val="center"/>
          </w:tcPr>
          <w:p w14:paraId="025699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549" w:type="dxa"/>
            <w:vAlign w:val="center"/>
          </w:tcPr>
          <w:p w14:paraId="5978087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甘草油甘果</w:t>
            </w:r>
          </w:p>
        </w:tc>
        <w:tc>
          <w:tcPr>
            <w:tcW w:w="975" w:type="dxa"/>
            <w:vAlign w:val="top"/>
          </w:tcPr>
          <w:p w14:paraId="3CF0A7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15</w:t>
            </w:r>
          </w:p>
        </w:tc>
        <w:tc>
          <w:tcPr>
            <w:tcW w:w="975" w:type="dxa"/>
            <w:vAlign w:val="top"/>
          </w:tcPr>
          <w:p w14:paraId="1B49C1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55</w:t>
            </w:r>
          </w:p>
        </w:tc>
        <w:tc>
          <w:tcPr>
            <w:tcW w:w="975" w:type="dxa"/>
            <w:vAlign w:val="top"/>
          </w:tcPr>
          <w:p w14:paraId="1287C1C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16A2566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15</w:t>
            </w:r>
          </w:p>
        </w:tc>
        <w:tc>
          <w:tcPr>
            <w:tcW w:w="975" w:type="dxa"/>
            <w:vAlign w:val="top"/>
          </w:tcPr>
          <w:p w14:paraId="33F3D3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5</w:t>
            </w:r>
          </w:p>
        </w:tc>
        <w:tc>
          <w:tcPr>
            <w:tcW w:w="975" w:type="dxa"/>
            <w:gridSpan w:val="2"/>
            <w:vAlign w:val="top"/>
          </w:tcPr>
          <w:p w14:paraId="6190846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388079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5A8E142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522F9E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82" w:type="dxa"/>
            <w:vAlign w:val="top"/>
          </w:tcPr>
          <w:p w14:paraId="213D1E6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776" w:type="dxa"/>
            <w:vAlign w:val="top"/>
          </w:tcPr>
          <w:p w14:paraId="788CDA6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r>
      <w:tr w14:paraId="0301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right"/>
        </w:trPr>
        <w:tc>
          <w:tcPr>
            <w:tcW w:w="1211" w:type="dxa"/>
            <w:vAlign w:val="center"/>
          </w:tcPr>
          <w:p w14:paraId="2E4A385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11</w:t>
            </w:r>
          </w:p>
        </w:tc>
        <w:tc>
          <w:tcPr>
            <w:tcW w:w="1549" w:type="dxa"/>
            <w:vAlign w:val="center"/>
          </w:tcPr>
          <w:p w14:paraId="142DC2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长辉余甘果</w:t>
            </w:r>
          </w:p>
        </w:tc>
        <w:tc>
          <w:tcPr>
            <w:tcW w:w="975" w:type="dxa"/>
            <w:shd w:val="clear" w:color="auto" w:fill="auto"/>
            <w:vAlign w:val="top"/>
          </w:tcPr>
          <w:p w14:paraId="66F087C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2312" w:cs="方正仿宋_GB2312"/>
                <w:kern w:val="2"/>
                <w:sz w:val="24"/>
                <w:szCs w:val="24"/>
                <w:vertAlign w:val="baseline"/>
                <w:lang w:val="en-US" w:eastAsia="zh-CN" w:bidi="ar-SA"/>
              </w:rPr>
            </w:pPr>
            <w:r>
              <w:rPr>
                <w:rFonts w:hint="eastAsia" w:eastAsia="方正仿宋_GB2312" w:cs="方正仿宋_GB2312"/>
                <w:sz w:val="24"/>
                <w:szCs w:val="24"/>
                <w:vertAlign w:val="baseline"/>
                <w:lang w:val="en-US" w:eastAsia="zh-CN"/>
              </w:rPr>
              <w:t>200</w:t>
            </w:r>
          </w:p>
        </w:tc>
        <w:tc>
          <w:tcPr>
            <w:tcW w:w="975" w:type="dxa"/>
            <w:shd w:val="clear" w:color="auto" w:fill="auto"/>
            <w:vAlign w:val="top"/>
          </w:tcPr>
          <w:p w14:paraId="45FED2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2312" w:cs="方正仿宋_GB2312"/>
                <w:kern w:val="2"/>
                <w:sz w:val="24"/>
                <w:szCs w:val="24"/>
                <w:vertAlign w:val="baseline"/>
                <w:lang w:val="en-US" w:eastAsia="zh-CN" w:bidi="ar-SA"/>
              </w:rPr>
            </w:pPr>
            <w:r>
              <w:rPr>
                <w:rFonts w:hint="eastAsia" w:eastAsia="方正仿宋_GB2312" w:cs="方正仿宋_GB2312"/>
                <w:sz w:val="24"/>
                <w:szCs w:val="24"/>
                <w:vertAlign w:val="baseline"/>
                <w:lang w:val="en-US" w:eastAsia="zh-CN"/>
              </w:rPr>
              <w:t>130</w:t>
            </w:r>
          </w:p>
        </w:tc>
        <w:tc>
          <w:tcPr>
            <w:tcW w:w="975" w:type="dxa"/>
            <w:shd w:val="clear" w:color="auto" w:fill="auto"/>
            <w:vAlign w:val="top"/>
          </w:tcPr>
          <w:p w14:paraId="21B1E1D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2312" w:cs="方正仿宋_GB2312"/>
                <w:kern w:val="2"/>
                <w:sz w:val="24"/>
                <w:szCs w:val="24"/>
                <w:vertAlign w:val="baseline"/>
                <w:lang w:val="en-US" w:eastAsia="zh-CN" w:bidi="ar-SA"/>
              </w:rPr>
            </w:pPr>
            <w:r>
              <w:rPr>
                <w:rFonts w:hint="eastAsia" w:eastAsia="方正仿宋_GB2312" w:cs="方正仿宋_GB2312"/>
                <w:sz w:val="24"/>
                <w:szCs w:val="24"/>
                <w:vertAlign w:val="baseline"/>
                <w:lang w:val="en-US" w:eastAsia="zh-CN"/>
              </w:rPr>
              <w:t>50</w:t>
            </w:r>
          </w:p>
        </w:tc>
        <w:tc>
          <w:tcPr>
            <w:tcW w:w="975" w:type="dxa"/>
            <w:shd w:val="clear" w:color="auto" w:fill="auto"/>
            <w:vAlign w:val="top"/>
          </w:tcPr>
          <w:p w14:paraId="1BB3C84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2312" w:cs="方正仿宋_GB2312"/>
                <w:kern w:val="2"/>
                <w:sz w:val="24"/>
                <w:szCs w:val="24"/>
                <w:vertAlign w:val="baseline"/>
                <w:lang w:val="en-US" w:eastAsia="zh-CN" w:bidi="ar-SA"/>
              </w:rPr>
            </w:pPr>
            <w:r>
              <w:rPr>
                <w:rFonts w:hint="eastAsia" w:eastAsia="方正仿宋_GB2312" w:cs="方正仿宋_GB2312"/>
                <w:sz w:val="24"/>
                <w:szCs w:val="24"/>
                <w:vertAlign w:val="baseline"/>
                <w:lang w:val="en-US" w:eastAsia="zh-CN"/>
              </w:rPr>
              <w:t>85</w:t>
            </w:r>
          </w:p>
        </w:tc>
        <w:tc>
          <w:tcPr>
            <w:tcW w:w="975" w:type="dxa"/>
            <w:shd w:val="clear" w:color="auto" w:fill="auto"/>
            <w:vAlign w:val="top"/>
          </w:tcPr>
          <w:p w14:paraId="059B7D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2312" w:cs="方正仿宋_GB2312"/>
                <w:kern w:val="2"/>
                <w:sz w:val="24"/>
                <w:szCs w:val="24"/>
                <w:vertAlign w:val="baseline"/>
                <w:lang w:val="en-US" w:eastAsia="zh-CN" w:bidi="ar-SA"/>
              </w:rPr>
            </w:pPr>
            <w:r>
              <w:rPr>
                <w:rFonts w:hint="eastAsia" w:eastAsia="方正仿宋_GB2312" w:cs="方正仿宋_GB2312"/>
                <w:sz w:val="24"/>
                <w:szCs w:val="24"/>
                <w:vertAlign w:val="baseline"/>
                <w:lang w:val="en-US" w:eastAsia="zh-CN"/>
              </w:rPr>
              <w:t>60</w:t>
            </w:r>
          </w:p>
        </w:tc>
        <w:tc>
          <w:tcPr>
            <w:tcW w:w="975" w:type="dxa"/>
            <w:gridSpan w:val="2"/>
            <w:vAlign w:val="top"/>
          </w:tcPr>
          <w:p w14:paraId="0893FC4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168C0A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7ABE5E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3B23E1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82" w:type="dxa"/>
            <w:vAlign w:val="top"/>
          </w:tcPr>
          <w:p w14:paraId="4546E37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776" w:type="dxa"/>
            <w:vAlign w:val="top"/>
          </w:tcPr>
          <w:p w14:paraId="499678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r>
      <w:tr w14:paraId="64DF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right"/>
        </w:trPr>
        <w:tc>
          <w:tcPr>
            <w:tcW w:w="1211" w:type="dxa"/>
            <w:vAlign w:val="center"/>
          </w:tcPr>
          <w:p w14:paraId="6CA1C5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12</w:t>
            </w:r>
          </w:p>
        </w:tc>
        <w:tc>
          <w:tcPr>
            <w:tcW w:w="1549" w:type="dxa"/>
            <w:vAlign w:val="center"/>
          </w:tcPr>
          <w:p w14:paraId="0C0E12B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傣密橄榄干</w:t>
            </w:r>
          </w:p>
        </w:tc>
        <w:tc>
          <w:tcPr>
            <w:tcW w:w="975" w:type="dxa"/>
            <w:vAlign w:val="top"/>
          </w:tcPr>
          <w:p w14:paraId="2570FFB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190</w:t>
            </w:r>
          </w:p>
        </w:tc>
        <w:tc>
          <w:tcPr>
            <w:tcW w:w="975" w:type="dxa"/>
            <w:vAlign w:val="top"/>
          </w:tcPr>
          <w:p w14:paraId="50B2745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90</w:t>
            </w:r>
          </w:p>
        </w:tc>
        <w:tc>
          <w:tcPr>
            <w:tcW w:w="975" w:type="dxa"/>
            <w:vAlign w:val="top"/>
          </w:tcPr>
          <w:p w14:paraId="4897A1C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25</w:t>
            </w:r>
          </w:p>
        </w:tc>
        <w:tc>
          <w:tcPr>
            <w:tcW w:w="975" w:type="dxa"/>
            <w:vAlign w:val="top"/>
          </w:tcPr>
          <w:p w14:paraId="5D75338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65</w:t>
            </w:r>
          </w:p>
        </w:tc>
        <w:tc>
          <w:tcPr>
            <w:tcW w:w="975" w:type="dxa"/>
            <w:vAlign w:val="top"/>
          </w:tcPr>
          <w:p w14:paraId="0D2C4CB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65</w:t>
            </w:r>
          </w:p>
        </w:tc>
        <w:tc>
          <w:tcPr>
            <w:tcW w:w="975" w:type="dxa"/>
            <w:gridSpan w:val="2"/>
            <w:vAlign w:val="top"/>
          </w:tcPr>
          <w:p w14:paraId="302E47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5B6F58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3348B7F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75" w:type="dxa"/>
            <w:vAlign w:val="top"/>
          </w:tcPr>
          <w:p w14:paraId="7ECF8E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982" w:type="dxa"/>
            <w:vAlign w:val="top"/>
          </w:tcPr>
          <w:p w14:paraId="6DFE3FF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c>
          <w:tcPr>
            <w:tcW w:w="1776" w:type="dxa"/>
            <w:vAlign w:val="top"/>
          </w:tcPr>
          <w:p w14:paraId="513F96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仿宋_GB2312" w:cs="方正仿宋_GB2312"/>
                <w:sz w:val="24"/>
                <w:szCs w:val="24"/>
                <w:vertAlign w:val="baseline"/>
                <w:lang w:val="en-US" w:eastAsia="zh-CN"/>
              </w:rPr>
            </w:pPr>
            <w:r>
              <w:rPr>
                <w:rFonts w:hint="eastAsia" w:eastAsia="方正仿宋_GB2312" w:cs="方正仿宋_GB2312"/>
                <w:sz w:val="24"/>
                <w:szCs w:val="24"/>
                <w:vertAlign w:val="baseline"/>
                <w:lang w:val="en-US" w:eastAsia="zh-CN"/>
              </w:rPr>
              <w:t>＜10</w:t>
            </w:r>
          </w:p>
        </w:tc>
      </w:tr>
    </w:tbl>
    <w:p w14:paraId="6D72370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方正仿宋_GB2312" w:cs="方正仿宋_GB2312"/>
          <w:sz w:val="32"/>
          <w:szCs w:val="32"/>
          <w:lang w:val="en-US" w:eastAsia="zh-CN"/>
        </w:rPr>
        <w:sectPr>
          <w:pgSz w:w="16838" w:h="11906" w:orient="landscape"/>
          <w:pgMar w:top="1800" w:right="1440" w:bottom="1800" w:left="1440" w:header="851" w:footer="992" w:gutter="0"/>
          <w:cols w:space="425" w:num="1"/>
          <w:docGrid w:type="lines" w:linePitch="312" w:charSpace="0"/>
        </w:sectPr>
      </w:pPr>
    </w:p>
    <w:p w14:paraId="703E6AA9">
      <w:pPr>
        <w:spacing w:line="560" w:lineRule="exact"/>
        <w:ind w:firstLine="643" w:firstLineChars="200"/>
        <w:outlineLvl w:val="1"/>
        <w:rPr>
          <w:rFonts w:hint="default" w:ascii="Times New Roman" w:hAnsi="Times New Roman" w:eastAsia="楷体_GB2312" w:cs="Times New Roman"/>
          <w:b/>
          <w:bCs/>
          <w:sz w:val="32"/>
        </w:rPr>
      </w:pPr>
      <w:r>
        <w:rPr>
          <w:rFonts w:hint="default" w:ascii="Times New Roman" w:hAnsi="Times New Roman" w:eastAsia="楷体_GB2312" w:cs="Times New Roman"/>
          <w:b/>
          <w:bCs/>
          <w:sz w:val="32"/>
        </w:rPr>
        <w:t>（二）技术经济论证、预期的经济效果</w:t>
      </w:r>
    </w:p>
    <w:p w14:paraId="1E5E4141">
      <w:pPr>
        <w:spacing w:line="560" w:lineRule="exact"/>
        <w:ind w:firstLine="640" w:firstLineChars="200"/>
        <w:rPr>
          <w:rFonts w:hint="default" w:ascii="Times New Roman" w:hAnsi="Times New Roman" w:eastAsia="仿宋" w:cs="Times New Roman"/>
          <w:sz w:val="32"/>
          <w:lang w:val="en-US" w:eastAsia="zh-CN"/>
        </w:rPr>
      </w:pPr>
      <w:r>
        <w:rPr>
          <w:rFonts w:hint="eastAsia" w:ascii="Times New Roman" w:hAnsi="Times New Roman" w:eastAsia="仿宋" w:cs="Times New Roman"/>
          <w:sz w:val="32"/>
          <w:lang w:val="en-US" w:eastAsia="zh-CN"/>
        </w:rPr>
        <w:t>国内余甘子加工产业多以初级农产品加工为主，存在着工艺标准化不足、品质差异较大等问题。广东省作为余甘子主产区，种植面积占全国40%以上，但加工企业规模小、技术分散、产品附加值低。制定《余甘子及其制品》广东省地方标准，可统一原料品质、加工工艺及质量指标，推动企业技术改造和设备升级，促进余甘子产业持续发展。</w:t>
      </w:r>
    </w:p>
    <w:p w14:paraId="3B4F06E1">
      <w:pPr>
        <w:spacing w:line="560" w:lineRule="exact"/>
        <w:ind w:firstLine="640" w:firstLineChars="200"/>
        <w:outlineLvl w:val="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四、与国际、国外同类标准技术内容的对比情况，或者与测试的国外样品、样机的有关数据对比情况</w:t>
      </w:r>
    </w:p>
    <w:p w14:paraId="29722E71">
      <w:pPr>
        <w:spacing w:line="560" w:lineRule="exact"/>
        <w:ind w:firstLine="640" w:firstLineChars="200"/>
        <w:rPr>
          <w:rFonts w:hint="eastAsia" w:ascii="仿宋" w:hAnsi="仿宋" w:eastAsia="仿宋" w:cs="仿宋"/>
          <w:sz w:val="32"/>
          <w:lang w:val="en-US" w:eastAsia="zh-CN"/>
        </w:rPr>
      </w:pPr>
      <w:r>
        <w:rPr>
          <w:rFonts w:hint="eastAsia" w:ascii="仿宋" w:hAnsi="仿宋" w:eastAsia="仿宋" w:cs="仿宋"/>
          <w:sz w:val="32"/>
          <w:lang w:val="en-US" w:eastAsia="zh-CN"/>
        </w:rPr>
        <w:t>本标准与有关法律法规和强制性标准无冲突。当前可参考的标准主要为LY/T 2866-2017《余甘子粉》、LY/T 3281-2021《余甘子原汁》，这两个标准为国家林业和草原局发布的林业行业标准，但并未涵盖余甘子及其相关制品的食品安全要求。</w:t>
      </w:r>
    </w:p>
    <w:p w14:paraId="635CE13D">
      <w:pPr>
        <w:spacing w:line="560" w:lineRule="exact"/>
        <w:ind w:firstLine="640" w:firstLineChars="200"/>
        <w:rPr>
          <w:rFonts w:hint="default" w:ascii="仿宋" w:hAnsi="仿宋" w:eastAsia="仿宋" w:cs="仿宋"/>
          <w:sz w:val="32"/>
          <w:lang w:val="en-US" w:eastAsia="zh-CN"/>
        </w:rPr>
      </w:pPr>
      <w:r>
        <w:rPr>
          <w:rFonts w:hint="eastAsia" w:ascii="仿宋" w:hAnsi="仿宋" w:eastAsia="仿宋" w:cs="仿宋"/>
          <w:sz w:val="32"/>
          <w:lang w:val="en-US" w:eastAsia="zh-CN"/>
        </w:rPr>
        <w:t>余甘子根据NY/T 1940-2010 《热带水果分类和编码》属于常绿果树核果类热带水果，标准名称参考市场监管总局关于修订公布食品生产许可分类目录的公告 (2020年第8号) 中食品生产许可分类目录里的水果制品类别，余甘子及其制品主要包括余甘子鲜果、余甘子蜜饯以及余甘子果干。相关指标的设定参考的标准主要有GB 16325-2005《干果食品卫生标准》、NY/T 1041-2018《绿色食品 干果》、GB14884-2016《食品安全国家标准 蜜饯》、GB/T 22474-2008 《果酱》等标准。所参考的指标均严于相关的国标及行业标准。。</w:t>
      </w:r>
    </w:p>
    <w:p w14:paraId="316EEBD0">
      <w:pPr>
        <w:spacing w:line="560" w:lineRule="exact"/>
        <w:ind w:firstLine="420"/>
        <w:rPr>
          <w:rFonts w:hint="default" w:ascii="Times New Roman" w:hAnsi="Times New Roman" w:eastAsia="仿宋_GB2312" w:cs="Times New Roman"/>
          <w:sz w:val="32"/>
        </w:rPr>
      </w:pPr>
    </w:p>
    <w:p w14:paraId="12E0ED0F">
      <w:pPr>
        <w:spacing w:line="560" w:lineRule="exact"/>
        <w:ind w:firstLine="640" w:firstLineChars="200"/>
        <w:outlineLvl w:val="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五、以国际标准为基础的起草情况，以及是否合规引用或者采用国际国外标准，并说明未采用国际标准的原因</w:t>
      </w:r>
    </w:p>
    <w:p w14:paraId="39EEB89C">
      <w:pPr>
        <w:spacing w:line="560" w:lineRule="exact"/>
        <w:ind w:firstLine="640" w:firstLineChars="200"/>
        <w:rPr>
          <w:rFonts w:hint="default" w:ascii="仿宋" w:hAnsi="仿宋" w:eastAsia="仿宋" w:cs="仿宋"/>
          <w:sz w:val="32"/>
          <w:lang w:val="en-US" w:eastAsia="zh-CN"/>
        </w:rPr>
      </w:pPr>
      <w:r>
        <w:rPr>
          <w:rFonts w:hint="default" w:ascii="仿宋" w:hAnsi="仿宋" w:eastAsia="仿宋" w:cs="仿宋"/>
          <w:sz w:val="32"/>
          <w:lang w:val="en-US" w:eastAsia="zh-CN"/>
        </w:rPr>
        <w:t>未采用国际标准。</w:t>
      </w:r>
    </w:p>
    <w:p w14:paraId="7F1737D9">
      <w:pPr>
        <w:spacing w:line="560" w:lineRule="exact"/>
        <w:ind w:firstLine="420"/>
        <w:rPr>
          <w:rFonts w:hint="default" w:ascii="Times New Roman" w:hAnsi="Times New Roman" w:eastAsia="仿宋_GB2312" w:cs="Times New Roman"/>
          <w:sz w:val="32"/>
        </w:rPr>
      </w:pPr>
    </w:p>
    <w:p w14:paraId="37F18AC5">
      <w:pPr>
        <w:spacing w:line="560" w:lineRule="exact"/>
        <w:ind w:firstLine="640" w:firstLineChars="200"/>
        <w:outlineLvl w:val="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六、与有关法律、行政法规及相关标准的关系</w:t>
      </w:r>
    </w:p>
    <w:p w14:paraId="2C4C20CD">
      <w:pPr>
        <w:spacing w:line="560" w:lineRule="exact"/>
        <w:ind w:firstLine="640" w:firstLineChars="200"/>
        <w:rPr>
          <w:rFonts w:hint="default" w:ascii="仿宋" w:hAnsi="仿宋" w:eastAsia="仿宋" w:cs="仿宋"/>
          <w:sz w:val="32"/>
          <w:lang w:val="en-US" w:eastAsia="zh-CN"/>
        </w:rPr>
      </w:pPr>
      <w:r>
        <w:rPr>
          <w:rFonts w:hint="default" w:ascii="仿宋" w:hAnsi="仿宋" w:eastAsia="仿宋" w:cs="仿宋"/>
          <w:sz w:val="32"/>
          <w:lang w:val="en-US" w:eastAsia="zh-CN"/>
        </w:rPr>
        <w:t>本标准与本行业现有的其他标准协调配套，没有冲突。</w:t>
      </w:r>
    </w:p>
    <w:p w14:paraId="4EE41E3F">
      <w:pPr>
        <w:spacing w:line="560" w:lineRule="exact"/>
        <w:ind w:firstLine="420"/>
        <w:rPr>
          <w:rFonts w:hint="default" w:ascii="Times New Roman" w:hAnsi="Times New Roman" w:eastAsia="仿宋_GB2312" w:cs="Times New Roman"/>
          <w:sz w:val="32"/>
        </w:rPr>
      </w:pPr>
    </w:p>
    <w:p w14:paraId="2761A1DD">
      <w:pPr>
        <w:spacing w:line="560" w:lineRule="exact"/>
        <w:ind w:firstLine="640" w:firstLineChars="200"/>
        <w:outlineLvl w:val="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七、重大分歧意见的处理经过和依据</w:t>
      </w:r>
    </w:p>
    <w:p w14:paraId="4AC894EF">
      <w:pPr>
        <w:spacing w:line="560" w:lineRule="exact"/>
        <w:ind w:firstLine="640" w:firstLineChars="200"/>
        <w:rPr>
          <w:rFonts w:hint="default" w:ascii="仿宋" w:hAnsi="仿宋" w:eastAsia="仿宋" w:cs="仿宋"/>
          <w:sz w:val="32"/>
          <w:lang w:val="en-US" w:eastAsia="zh-CN"/>
        </w:rPr>
      </w:pPr>
      <w:r>
        <w:rPr>
          <w:rFonts w:hint="default" w:ascii="仿宋" w:hAnsi="仿宋" w:eastAsia="仿宋" w:cs="仿宋"/>
          <w:sz w:val="32"/>
          <w:lang w:val="en-US" w:eastAsia="zh-CN"/>
        </w:rPr>
        <w:t>无。</w:t>
      </w:r>
    </w:p>
    <w:p w14:paraId="01572DC4">
      <w:pPr>
        <w:spacing w:line="560" w:lineRule="exact"/>
        <w:ind w:firstLine="420"/>
        <w:rPr>
          <w:rFonts w:hint="default" w:ascii="Times New Roman" w:hAnsi="Times New Roman" w:eastAsia="仿宋_GB2312" w:cs="Times New Roman"/>
          <w:sz w:val="32"/>
        </w:rPr>
      </w:pPr>
    </w:p>
    <w:p w14:paraId="36C08D3A">
      <w:pPr>
        <w:spacing w:line="560" w:lineRule="exact"/>
        <w:ind w:firstLine="640" w:firstLineChars="200"/>
        <w:outlineLvl w:val="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八、涉及专利的有关说明</w:t>
      </w:r>
    </w:p>
    <w:p w14:paraId="4270E792">
      <w:pPr>
        <w:spacing w:line="560" w:lineRule="exact"/>
        <w:ind w:firstLine="640" w:firstLineChars="200"/>
        <w:rPr>
          <w:rFonts w:hint="default" w:ascii="仿宋" w:hAnsi="仿宋" w:eastAsia="仿宋" w:cs="仿宋"/>
          <w:sz w:val="32"/>
          <w:lang w:val="en-US" w:eastAsia="zh-CN"/>
        </w:rPr>
      </w:pPr>
      <w:r>
        <w:rPr>
          <w:rFonts w:hint="default" w:ascii="仿宋" w:hAnsi="仿宋" w:eastAsia="仿宋" w:cs="仿宋"/>
          <w:sz w:val="32"/>
          <w:lang w:val="en-US" w:eastAsia="zh-CN"/>
        </w:rPr>
        <w:t>无。</w:t>
      </w:r>
    </w:p>
    <w:p w14:paraId="692CFEC7">
      <w:pPr>
        <w:spacing w:line="560" w:lineRule="exact"/>
        <w:ind w:firstLine="420"/>
        <w:rPr>
          <w:rFonts w:hint="default" w:ascii="Times New Roman" w:hAnsi="Times New Roman" w:eastAsia="仿宋_GB2312" w:cs="Times New Roman"/>
          <w:sz w:val="32"/>
        </w:rPr>
      </w:pPr>
    </w:p>
    <w:p w14:paraId="14479A64">
      <w:pPr>
        <w:spacing w:line="560" w:lineRule="exact"/>
        <w:ind w:firstLine="640" w:firstLineChars="200"/>
        <w:outlineLvl w:val="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九、实施标准的要求，以及组织措施、技术措施、过渡期和实施日期的建议等措施建议</w:t>
      </w:r>
    </w:p>
    <w:p w14:paraId="4024CFD1">
      <w:pPr>
        <w:spacing w:line="560" w:lineRule="exact"/>
        <w:ind w:firstLine="640" w:firstLineChars="200"/>
        <w:rPr>
          <w:rFonts w:hint="default" w:ascii="仿宋" w:hAnsi="仿宋" w:eastAsia="仿宋" w:cs="仿宋"/>
          <w:sz w:val="32"/>
          <w:lang w:val="en-US" w:eastAsia="zh-CN"/>
        </w:rPr>
      </w:pPr>
      <w:r>
        <w:rPr>
          <w:rFonts w:hint="default" w:ascii="仿宋" w:hAnsi="仿宋" w:eastAsia="仿宋" w:cs="仿宋"/>
          <w:sz w:val="32"/>
          <w:lang w:val="en-US" w:eastAsia="zh-CN"/>
        </w:rPr>
        <w:t>积极配合广东省市场监督管理局等政府部门推广标准文件，倡导各市、县各余甘子种植、加工企业积极使用标准。并通过参与科技特派员下乡、学术会议、媒体等渠道，向余甘子行业宣贯本标准，呼吁各单位主动学习、遵守该标准，最终形成行业默认规则。</w:t>
      </w:r>
    </w:p>
    <w:p w14:paraId="0ED5D5D9">
      <w:pPr>
        <w:spacing w:line="560" w:lineRule="exact"/>
        <w:ind w:firstLine="420"/>
        <w:rPr>
          <w:rFonts w:hint="default" w:ascii="Times New Roman" w:hAnsi="Times New Roman" w:eastAsia="仿宋_GB2312" w:cs="Times New Roman"/>
          <w:sz w:val="32"/>
        </w:rPr>
      </w:pPr>
    </w:p>
    <w:p w14:paraId="7E4B05B9">
      <w:pPr>
        <w:spacing w:line="560" w:lineRule="exact"/>
        <w:ind w:firstLine="640" w:firstLineChars="200"/>
        <w:outlineLvl w:val="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十、其他应予说明的事项</w:t>
      </w:r>
    </w:p>
    <w:p w14:paraId="13F46D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方正仿宋_GB2312" w:cs="方正仿宋_GB2312"/>
          <w:sz w:val="32"/>
          <w:szCs w:val="32"/>
          <w:lang w:val="en-US" w:eastAsia="zh-CN"/>
        </w:rPr>
      </w:pPr>
      <w:r>
        <w:rPr>
          <w:rFonts w:hint="default" w:ascii="仿宋" w:hAnsi="仿宋" w:eastAsia="仿宋" w:cs="仿宋"/>
          <w:sz w:val="32"/>
          <w:lang w:val="en-US" w:eastAsia="zh-CN"/>
        </w:rPr>
        <w:t>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7FC4B22-118C-40D0-8B10-643AAAE09A0B}"/>
  </w:font>
  <w:font w:name="黑体">
    <w:panose1 w:val="02010609060101010101"/>
    <w:charset w:val="86"/>
    <w:family w:val="auto"/>
    <w:pitch w:val="default"/>
    <w:sig w:usb0="800002BF" w:usb1="38CF7CFA" w:usb2="00000016" w:usb3="00000000" w:csb0="00040001" w:csb1="00000000"/>
    <w:embedRegular r:id="rId2" w:fontKey="{EE5599BF-A309-456C-9199-A258FF3CAA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3" w:fontKey="{DA649664-FDAD-47AF-B658-B842A7CAD0F0}"/>
  </w:font>
  <w:font w:name="楷体_GB2312">
    <w:altName w:val="楷体"/>
    <w:panose1 w:val="02010609030101010101"/>
    <w:charset w:val="86"/>
    <w:family w:val="modern"/>
    <w:pitch w:val="default"/>
    <w:sig w:usb0="00000000" w:usb1="00000000" w:usb2="00000010" w:usb3="00000000" w:csb0="00040000" w:csb1="00000000"/>
    <w:embedRegular r:id="rId4" w:fontKey="{3D57BA22-8F1C-41C9-A98D-5C4CB76AF9EC}"/>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5" w:fontKey="{6B5864F0-C966-42AF-9D19-A42BAFAEB09F}"/>
  </w:font>
  <w:font w:name="仿宋">
    <w:panose1 w:val="02010609060101010101"/>
    <w:charset w:val="86"/>
    <w:family w:val="modern"/>
    <w:pitch w:val="default"/>
    <w:sig w:usb0="800002BF" w:usb1="38CF7CFA" w:usb2="00000016" w:usb3="00000000" w:csb0="00040001" w:csb1="00000000"/>
    <w:embedRegular r:id="rId6" w:fontKey="{7A32CEC9-DB36-4A03-BE01-96B2F029F36A}"/>
  </w:font>
  <w:font w:name="仿宋_GB2312">
    <w:panose1 w:val="02010609030101010101"/>
    <w:charset w:val="86"/>
    <w:family w:val="modern"/>
    <w:pitch w:val="default"/>
    <w:sig w:usb0="00000001" w:usb1="080E0000" w:usb2="00000000" w:usb3="00000000" w:csb0="00040000" w:csb1="00000000"/>
    <w:embedRegular r:id="rId7" w:fontKey="{4A11C6BD-3B79-45FC-AA4B-89BB064B685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D0D6A4"/>
    <w:multiLevelType w:val="singleLevel"/>
    <w:tmpl w:val="D3D0D6A4"/>
    <w:lvl w:ilvl="0" w:tentative="0">
      <w:start w:val="1"/>
      <w:numFmt w:val="decimal"/>
      <w:suff w:val="nothing"/>
      <w:lvlText w:val="（%1）"/>
      <w:lvlJc w:val="left"/>
      <w:pPr>
        <w:ind w:left="-13"/>
      </w:pPr>
    </w:lvl>
  </w:abstractNum>
  <w:abstractNum w:abstractNumId="1">
    <w:nsid w:val="62F2E36C"/>
    <w:multiLevelType w:val="singleLevel"/>
    <w:tmpl w:val="62F2E36C"/>
    <w:lvl w:ilvl="0" w:tentative="0">
      <w:start w:val="2"/>
      <w:numFmt w:val="decimal"/>
      <w:suff w:val="space"/>
      <w:lvlText w:val="%1."/>
      <w:lvlJc w:val="left"/>
    </w:lvl>
  </w:abstractNum>
  <w:abstractNum w:abstractNumId="2">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9"/>
      <w:suff w:val="nothing"/>
      <w:lvlText w:val="%1%2　"/>
      <w:lvlJc w:val="left"/>
      <w:pPr>
        <w:ind w:left="0" w:firstLine="0"/>
      </w:pPr>
      <w:rPr>
        <w:rFonts w:hint="eastAsia" w:ascii="黑体" w:eastAsia="黑体"/>
        <w:b w:val="0"/>
        <w:i w:val="0"/>
        <w:sz w:val="21"/>
      </w:rPr>
    </w:lvl>
    <w:lvl w:ilvl="2" w:tentative="0">
      <w:start w:val="1"/>
      <w:numFmt w:val="decimal"/>
      <w:pStyle w:val="8"/>
      <w:suff w:val="nothing"/>
      <w:lvlText w:val="%1%2.%3　"/>
      <w:lvlJc w:val="left"/>
      <w:pPr>
        <w:ind w:left="851"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DB5F5E"/>
    <w:rsid w:val="00522102"/>
    <w:rsid w:val="00814795"/>
    <w:rsid w:val="009269A2"/>
    <w:rsid w:val="01176E27"/>
    <w:rsid w:val="012E5B58"/>
    <w:rsid w:val="01795ADF"/>
    <w:rsid w:val="021A0C65"/>
    <w:rsid w:val="02555ED9"/>
    <w:rsid w:val="02B5111E"/>
    <w:rsid w:val="02C170CB"/>
    <w:rsid w:val="035B11A5"/>
    <w:rsid w:val="03836A76"/>
    <w:rsid w:val="03BA19F2"/>
    <w:rsid w:val="03EA08A3"/>
    <w:rsid w:val="04D035F5"/>
    <w:rsid w:val="05791EDF"/>
    <w:rsid w:val="05AF5900"/>
    <w:rsid w:val="05DB34F9"/>
    <w:rsid w:val="05E30B4C"/>
    <w:rsid w:val="05F45A09"/>
    <w:rsid w:val="06F2019A"/>
    <w:rsid w:val="082A74C0"/>
    <w:rsid w:val="083E2F6B"/>
    <w:rsid w:val="08470072"/>
    <w:rsid w:val="08764548"/>
    <w:rsid w:val="095011A8"/>
    <w:rsid w:val="098A46BA"/>
    <w:rsid w:val="09A60DC8"/>
    <w:rsid w:val="0B0C10FF"/>
    <w:rsid w:val="0B316DB7"/>
    <w:rsid w:val="0B512FB6"/>
    <w:rsid w:val="0B9E1E32"/>
    <w:rsid w:val="0C0D43E1"/>
    <w:rsid w:val="0C1A4A4F"/>
    <w:rsid w:val="0CD23706"/>
    <w:rsid w:val="0D061769"/>
    <w:rsid w:val="0D073416"/>
    <w:rsid w:val="0D42748F"/>
    <w:rsid w:val="0DCA7470"/>
    <w:rsid w:val="0DF76096"/>
    <w:rsid w:val="0EAD7B7A"/>
    <w:rsid w:val="0EDB5F5E"/>
    <w:rsid w:val="0EE7435D"/>
    <w:rsid w:val="0F234C69"/>
    <w:rsid w:val="0F680533"/>
    <w:rsid w:val="0FAE09D7"/>
    <w:rsid w:val="0FBC2123"/>
    <w:rsid w:val="10686DD7"/>
    <w:rsid w:val="10C6648B"/>
    <w:rsid w:val="110034B4"/>
    <w:rsid w:val="125E4932"/>
    <w:rsid w:val="131E7C21"/>
    <w:rsid w:val="1363163E"/>
    <w:rsid w:val="13D7311C"/>
    <w:rsid w:val="142B1F63"/>
    <w:rsid w:val="143A0A8B"/>
    <w:rsid w:val="14706BA3"/>
    <w:rsid w:val="14AC5D2B"/>
    <w:rsid w:val="14B95E54"/>
    <w:rsid w:val="14E43291"/>
    <w:rsid w:val="15393438"/>
    <w:rsid w:val="153E0622"/>
    <w:rsid w:val="15557BEF"/>
    <w:rsid w:val="15972F1D"/>
    <w:rsid w:val="15FF1F8C"/>
    <w:rsid w:val="161B13E4"/>
    <w:rsid w:val="161C15DF"/>
    <w:rsid w:val="166167A3"/>
    <w:rsid w:val="16743546"/>
    <w:rsid w:val="16994438"/>
    <w:rsid w:val="170D692B"/>
    <w:rsid w:val="17616FB9"/>
    <w:rsid w:val="1776002C"/>
    <w:rsid w:val="178C0001"/>
    <w:rsid w:val="18553367"/>
    <w:rsid w:val="18B22C9A"/>
    <w:rsid w:val="18B828C6"/>
    <w:rsid w:val="18E86D07"/>
    <w:rsid w:val="19DD0836"/>
    <w:rsid w:val="1A136006"/>
    <w:rsid w:val="1A907657"/>
    <w:rsid w:val="1A967104"/>
    <w:rsid w:val="1B1B4C68"/>
    <w:rsid w:val="1B373B51"/>
    <w:rsid w:val="1B9D3026"/>
    <w:rsid w:val="1BA17641"/>
    <w:rsid w:val="1BBC34D4"/>
    <w:rsid w:val="1BF9747E"/>
    <w:rsid w:val="1D3F7A72"/>
    <w:rsid w:val="1D9C4564"/>
    <w:rsid w:val="1DD43CFE"/>
    <w:rsid w:val="1E3113DF"/>
    <w:rsid w:val="1E693EA2"/>
    <w:rsid w:val="1E8963F2"/>
    <w:rsid w:val="1EC85D00"/>
    <w:rsid w:val="1F6D171E"/>
    <w:rsid w:val="1FB262C1"/>
    <w:rsid w:val="207B4905"/>
    <w:rsid w:val="20CA2761"/>
    <w:rsid w:val="212136FE"/>
    <w:rsid w:val="21D97B35"/>
    <w:rsid w:val="22377C35"/>
    <w:rsid w:val="225C129F"/>
    <w:rsid w:val="229D6DB5"/>
    <w:rsid w:val="22A243CB"/>
    <w:rsid w:val="23311DD2"/>
    <w:rsid w:val="234C4337"/>
    <w:rsid w:val="24C820E3"/>
    <w:rsid w:val="25B753DF"/>
    <w:rsid w:val="26541E80"/>
    <w:rsid w:val="266F1DA3"/>
    <w:rsid w:val="27174C5C"/>
    <w:rsid w:val="27466BCE"/>
    <w:rsid w:val="27703FA9"/>
    <w:rsid w:val="27C44DE4"/>
    <w:rsid w:val="280242AC"/>
    <w:rsid w:val="28475F8B"/>
    <w:rsid w:val="2899001E"/>
    <w:rsid w:val="292666A4"/>
    <w:rsid w:val="29542197"/>
    <w:rsid w:val="29893B45"/>
    <w:rsid w:val="29DF4157"/>
    <w:rsid w:val="2A9D7061"/>
    <w:rsid w:val="2C06757C"/>
    <w:rsid w:val="2C6C25BF"/>
    <w:rsid w:val="2D2421AB"/>
    <w:rsid w:val="2D430559"/>
    <w:rsid w:val="2D614E83"/>
    <w:rsid w:val="2D6176B1"/>
    <w:rsid w:val="2DF45CF7"/>
    <w:rsid w:val="2E335CC7"/>
    <w:rsid w:val="2EBA0CEE"/>
    <w:rsid w:val="2EE45BBD"/>
    <w:rsid w:val="2F0D0E1E"/>
    <w:rsid w:val="2F697D76"/>
    <w:rsid w:val="30337A12"/>
    <w:rsid w:val="31E3230A"/>
    <w:rsid w:val="3214333D"/>
    <w:rsid w:val="322F6DE7"/>
    <w:rsid w:val="326515ED"/>
    <w:rsid w:val="3306536C"/>
    <w:rsid w:val="332350B4"/>
    <w:rsid w:val="33BC72B7"/>
    <w:rsid w:val="33CA5530"/>
    <w:rsid w:val="33E22CDE"/>
    <w:rsid w:val="33E256C4"/>
    <w:rsid w:val="342804A8"/>
    <w:rsid w:val="345D63A4"/>
    <w:rsid w:val="35425B11"/>
    <w:rsid w:val="3569756E"/>
    <w:rsid w:val="35BF4E3C"/>
    <w:rsid w:val="36835E6A"/>
    <w:rsid w:val="369316B2"/>
    <w:rsid w:val="36AD02E3"/>
    <w:rsid w:val="36D16BD5"/>
    <w:rsid w:val="36E96615"/>
    <w:rsid w:val="37026B6F"/>
    <w:rsid w:val="37841E99"/>
    <w:rsid w:val="37F46655"/>
    <w:rsid w:val="38123949"/>
    <w:rsid w:val="38A75AB6"/>
    <w:rsid w:val="38DB1F8D"/>
    <w:rsid w:val="397D1296"/>
    <w:rsid w:val="3A0F0C38"/>
    <w:rsid w:val="3A40479E"/>
    <w:rsid w:val="3A9221A1"/>
    <w:rsid w:val="3ABB02C8"/>
    <w:rsid w:val="3B7641EF"/>
    <w:rsid w:val="3BD830C5"/>
    <w:rsid w:val="3BDC3BEC"/>
    <w:rsid w:val="3C5A766D"/>
    <w:rsid w:val="3D435C4D"/>
    <w:rsid w:val="3D901D9C"/>
    <w:rsid w:val="3DB57E6A"/>
    <w:rsid w:val="3DF5764D"/>
    <w:rsid w:val="3E0A2BBE"/>
    <w:rsid w:val="3E1C107E"/>
    <w:rsid w:val="3E84585C"/>
    <w:rsid w:val="3EBA2645"/>
    <w:rsid w:val="3F096565"/>
    <w:rsid w:val="3F424B14"/>
    <w:rsid w:val="3F4F5483"/>
    <w:rsid w:val="3FD102EF"/>
    <w:rsid w:val="404E74E8"/>
    <w:rsid w:val="40624D42"/>
    <w:rsid w:val="40802040"/>
    <w:rsid w:val="40B7508E"/>
    <w:rsid w:val="40F7192E"/>
    <w:rsid w:val="41092C50"/>
    <w:rsid w:val="41281AE7"/>
    <w:rsid w:val="413730A3"/>
    <w:rsid w:val="42A7440F"/>
    <w:rsid w:val="42C35F6C"/>
    <w:rsid w:val="432D2622"/>
    <w:rsid w:val="43A56F13"/>
    <w:rsid w:val="43E11668"/>
    <w:rsid w:val="442C7B41"/>
    <w:rsid w:val="45091C30"/>
    <w:rsid w:val="45390767"/>
    <w:rsid w:val="45CF69D6"/>
    <w:rsid w:val="45F35D2E"/>
    <w:rsid w:val="46342CDD"/>
    <w:rsid w:val="46E6047B"/>
    <w:rsid w:val="46EC35B7"/>
    <w:rsid w:val="46F30DEA"/>
    <w:rsid w:val="470D1EAB"/>
    <w:rsid w:val="4745201A"/>
    <w:rsid w:val="4760647F"/>
    <w:rsid w:val="47B67E04"/>
    <w:rsid w:val="481C5C5C"/>
    <w:rsid w:val="48AF4751"/>
    <w:rsid w:val="48E409EA"/>
    <w:rsid w:val="4901159C"/>
    <w:rsid w:val="491E5440"/>
    <w:rsid w:val="49325BF9"/>
    <w:rsid w:val="4A147A52"/>
    <w:rsid w:val="4AA76173"/>
    <w:rsid w:val="4AB87960"/>
    <w:rsid w:val="4AE5380F"/>
    <w:rsid w:val="4B4D6D1A"/>
    <w:rsid w:val="4D262E49"/>
    <w:rsid w:val="4D9E1AAF"/>
    <w:rsid w:val="4DC3762A"/>
    <w:rsid w:val="4DCC3EE8"/>
    <w:rsid w:val="4F0B2848"/>
    <w:rsid w:val="4F7A3E56"/>
    <w:rsid w:val="4FAC5905"/>
    <w:rsid w:val="50833C1E"/>
    <w:rsid w:val="50A218B6"/>
    <w:rsid w:val="50A82C45"/>
    <w:rsid w:val="5139389D"/>
    <w:rsid w:val="51F9457D"/>
    <w:rsid w:val="520E2D96"/>
    <w:rsid w:val="527221A7"/>
    <w:rsid w:val="52872448"/>
    <w:rsid w:val="52904A72"/>
    <w:rsid w:val="52CF5F9E"/>
    <w:rsid w:val="538A799B"/>
    <w:rsid w:val="53A16DA2"/>
    <w:rsid w:val="543205F5"/>
    <w:rsid w:val="54A629D6"/>
    <w:rsid w:val="55131F35"/>
    <w:rsid w:val="55330B53"/>
    <w:rsid w:val="55747599"/>
    <w:rsid w:val="56633896"/>
    <w:rsid w:val="56E60023"/>
    <w:rsid w:val="571A78C3"/>
    <w:rsid w:val="575B3051"/>
    <w:rsid w:val="57FD3876"/>
    <w:rsid w:val="583F79EB"/>
    <w:rsid w:val="58BD09B2"/>
    <w:rsid w:val="58E51E46"/>
    <w:rsid w:val="59426BCA"/>
    <w:rsid w:val="59AF44E1"/>
    <w:rsid w:val="5A030647"/>
    <w:rsid w:val="5A494B51"/>
    <w:rsid w:val="5A4C1F51"/>
    <w:rsid w:val="5B127639"/>
    <w:rsid w:val="5B1442FA"/>
    <w:rsid w:val="5B8A2737"/>
    <w:rsid w:val="5C6D14FE"/>
    <w:rsid w:val="5CE33D10"/>
    <w:rsid w:val="5D26561D"/>
    <w:rsid w:val="5DDC2FED"/>
    <w:rsid w:val="5E2558D5"/>
    <w:rsid w:val="5E391380"/>
    <w:rsid w:val="5F84617C"/>
    <w:rsid w:val="5FA8056B"/>
    <w:rsid w:val="601F079F"/>
    <w:rsid w:val="602A2506"/>
    <w:rsid w:val="604F4E8B"/>
    <w:rsid w:val="60575AEE"/>
    <w:rsid w:val="60B44CEE"/>
    <w:rsid w:val="60D90D70"/>
    <w:rsid w:val="60F33A68"/>
    <w:rsid w:val="61905EB4"/>
    <w:rsid w:val="61B22060"/>
    <w:rsid w:val="61EE2B52"/>
    <w:rsid w:val="62332A93"/>
    <w:rsid w:val="6280132C"/>
    <w:rsid w:val="63126042"/>
    <w:rsid w:val="645A0447"/>
    <w:rsid w:val="64AC465A"/>
    <w:rsid w:val="64B13A1E"/>
    <w:rsid w:val="64B654D9"/>
    <w:rsid w:val="64EF4547"/>
    <w:rsid w:val="64F06418"/>
    <w:rsid w:val="65C64CD3"/>
    <w:rsid w:val="662A4A43"/>
    <w:rsid w:val="66B85DC0"/>
    <w:rsid w:val="671E7365"/>
    <w:rsid w:val="672E1BB9"/>
    <w:rsid w:val="67564D51"/>
    <w:rsid w:val="678673E4"/>
    <w:rsid w:val="67BF400C"/>
    <w:rsid w:val="67E85E46"/>
    <w:rsid w:val="6837248C"/>
    <w:rsid w:val="68F760C0"/>
    <w:rsid w:val="694110E9"/>
    <w:rsid w:val="6942733B"/>
    <w:rsid w:val="69692655"/>
    <w:rsid w:val="69B31FE7"/>
    <w:rsid w:val="6A19689F"/>
    <w:rsid w:val="6A611A43"/>
    <w:rsid w:val="6B6647FE"/>
    <w:rsid w:val="6BEA3CBA"/>
    <w:rsid w:val="6CBB580A"/>
    <w:rsid w:val="6D486EEA"/>
    <w:rsid w:val="6E386F5E"/>
    <w:rsid w:val="6EA769F4"/>
    <w:rsid w:val="6EB5235D"/>
    <w:rsid w:val="6F217E8B"/>
    <w:rsid w:val="6F8A5598"/>
    <w:rsid w:val="6FAC02F9"/>
    <w:rsid w:val="6FF3138F"/>
    <w:rsid w:val="702754DC"/>
    <w:rsid w:val="7028771F"/>
    <w:rsid w:val="70C96594"/>
    <w:rsid w:val="70E138DD"/>
    <w:rsid w:val="71767403"/>
    <w:rsid w:val="717C1533"/>
    <w:rsid w:val="71881FAB"/>
    <w:rsid w:val="7318110C"/>
    <w:rsid w:val="73904859"/>
    <w:rsid w:val="73970283"/>
    <w:rsid w:val="73D613AB"/>
    <w:rsid w:val="740F1CCC"/>
    <w:rsid w:val="746960C4"/>
    <w:rsid w:val="74C11324"/>
    <w:rsid w:val="74F256D4"/>
    <w:rsid w:val="752B5A0C"/>
    <w:rsid w:val="753D793E"/>
    <w:rsid w:val="755D54FC"/>
    <w:rsid w:val="75874327"/>
    <w:rsid w:val="75BC2223"/>
    <w:rsid w:val="75CA2B92"/>
    <w:rsid w:val="764220F8"/>
    <w:rsid w:val="768947FB"/>
    <w:rsid w:val="768F371A"/>
    <w:rsid w:val="775841CD"/>
    <w:rsid w:val="779276DF"/>
    <w:rsid w:val="788039DC"/>
    <w:rsid w:val="78B33DB1"/>
    <w:rsid w:val="78C87131"/>
    <w:rsid w:val="78CF6711"/>
    <w:rsid w:val="78F53D0B"/>
    <w:rsid w:val="79257493"/>
    <w:rsid w:val="79E32474"/>
    <w:rsid w:val="79F139E8"/>
    <w:rsid w:val="7B334D35"/>
    <w:rsid w:val="7B737828"/>
    <w:rsid w:val="7B773F25"/>
    <w:rsid w:val="7BC1061C"/>
    <w:rsid w:val="7CA37C99"/>
    <w:rsid w:val="7CE21998"/>
    <w:rsid w:val="7D0B583E"/>
    <w:rsid w:val="7D7004C3"/>
    <w:rsid w:val="7E061830"/>
    <w:rsid w:val="7E8A5B76"/>
    <w:rsid w:val="7EC23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jc w:val="right"/>
    </w:pPr>
    <w:rPr>
      <w:sz w:val="18"/>
      <w:szCs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0" w:type="dxa"/>
        <w:right w:w="100" w:type="dxa"/>
      </w:tblCellMar>
    </w:tblPr>
  </w:style>
  <w:style w:type="paragraph" w:customStyle="1" w:styleId="6">
    <w:name w:val="一级首章标题"/>
    <w:autoRedefine/>
    <w:qFormat/>
    <w:uiPriority w:val="0"/>
    <w:pPr>
      <w:wordWrap w:val="0"/>
      <w:autoSpaceDE w:val="0"/>
      <w:autoSpaceDN w:val="0"/>
      <w:snapToGrid w:val="0"/>
      <w:spacing w:after="100" w:afterLines="100"/>
      <w:jc w:val="both"/>
    </w:pPr>
    <w:rPr>
      <w:rFonts w:ascii="黑体" w:hAnsi="黑体" w:eastAsia="黑体" w:cs="Times New Roman"/>
      <w:sz w:val="21"/>
      <w:lang w:val="en-US" w:eastAsia="zh-CN" w:bidi="ar-SA"/>
    </w:rPr>
  </w:style>
  <w:style w:type="paragraph" w:customStyle="1" w:styleId="7">
    <w:name w:val="段落"/>
    <w:autoRedefine/>
    <w:qFormat/>
    <w:uiPriority w:val="0"/>
    <w:pPr>
      <w:autoSpaceDE w:val="0"/>
      <w:autoSpaceDN w:val="0"/>
      <w:ind w:firstLine="420" w:firstLineChars="200"/>
    </w:pPr>
    <w:rPr>
      <w:rFonts w:ascii="宋体" w:hAnsi="Times New Roman" w:eastAsia="宋体" w:cs="Times New Roman"/>
      <w:sz w:val="21"/>
      <w:lang w:val="en-US" w:eastAsia="zh-CN" w:bidi="ar-SA"/>
    </w:rPr>
  </w:style>
  <w:style w:type="paragraph" w:customStyle="1" w:styleId="8">
    <w:name w:val="标准文件_一级条标题"/>
    <w:basedOn w:val="9"/>
    <w:next w:val="10"/>
    <w:qFormat/>
    <w:uiPriority w:val="0"/>
    <w:pPr>
      <w:numPr>
        <w:ilvl w:val="2"/>
      </w:numPr>
      <w:spacing w:before="50" w:beforeLines="50" w:after="50" w:afterLines="50"/>
      <w:ind w:left="0"/>
      <w:outlineLvl w:val="1"/>
    </w:pPr>
  </w:style>
  <w:style w:type="paragraph" w:customStyle="1" w:styleId="9">
    <w:name w:val="标准文件_章标题"/>
    <w:next w:val="10"/>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1">
    <w:name w:val="章标题"/>
    <w:qFormat/>
    <w:uiPriority w:val="0"/>
    <w:pPr>
      <w:wordWrap w:val="0"/>
      <w:spacing w:before="312" w:beforeLines="100" w:after="312" w:afterLines="100"/>
      <w:jc w:val="both"/>
    </w:pPr>
    <w:rPr>
      <w:rFonts w:ascii="黑体" w:hAnsi="黑体"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6477</Words>
  <Characters>7777</Characters>
  <Lines>0</Lines>
  <Paragraphs>0</Paragraphs>
  <TotalTime>103</TotalTime>
  <ScaleCrop>false</ScaleCrop>
  <LinksUpToDate>false</LinksUpToDate>
  <CharactersWithSpaces>8027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2025-03-10T02:02:00Z</dcterms:created>
  <dc:creator>Fanny</dc:creator>
  <cp:lastModifiedBy>Fanny</cp:lastModifiedBy>
  <dcterms:modified xsi:type="dcterms:W3CDTF">2025-07-15T02:23:48Z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C71137C012644BAD837D87993C1092F9_13</vt:lpwstr>
  </property>
  <property fmtid="{D5CDD505-2E9C-101B-9397-08002B2CF9AE}" pid="4" name="KSOTemplateDocerSaveRecord">
    <vt:lpwstr>eyJoZGlkIjoiYWM5NTkwMWE3OGJhYmQzMWNiMGYxNjJiOTExNjA1NjQiLCJ1c2VySWQiOiI0MTAwNTA1MDIifQ==</vt:lpwstr>
  </property>
</Properties>
</file>